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23BAE96"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120</w:t>
      </w:r>
      <w:r w:rsidR="000C416C">
        <w:rPr>
          <w:b/>
          <w:noProof/>
          <w:sz w:val="24"/>
          <w:lang w:val="en-US"/>
        </w:rPr>
        <w:t xml:space="preserve">              </w:t>
      </w:r>
      <w:r w:rsidR="002364A5">
        <w:rPr>
          <w:b/>
          <w:noProof/>
          <w:sz w:val="24"/>
          <w:lang w:val="en-US"/>
        </w:rPr>
        <w:t xml:space="preserve">                                                </w:t>
      </w:r>
      <w:r w:rsidR="00C85572" w:rsidRPr="00C85572">
        <w:rPr>
          <w:b/>
          <w:noProof/>
          <w:sz w:val="24"/>
          <w:lang w:val="en-US"/>
        </w:rPr>
        <w:t>R2-2211473</w:t>
      </w:r>
    </w:p>
    <w:p w14:paraId="351CA33D" w14:textId="6FFFAC93" w:rsidR="00347001" w:rsidRPr="002D2634" w:rsidRDefault="002364A5" w:rsidP="00D870B2">
      <w:pPr>
        <w:tabs>
          <w:tab w:val="left" w:pos="1985"/>
        </w:tabs>
        <w:rPr>
          <w:bCs/>
          <w:i/>
          <w:iCs/>
          <w:color w:val="2F5496"/>
          <w:sz w:val="24"/>
          <w:lang w:val="pt-PT"/>
        </w:rPr>
      </w:pPr>
      <w:r>
        <w:rPr>
          <w:rFonts w:ascii="Arial" w:eastAsia="MS Mincho" w:hAnsi="Arial"/>
          <w:b/>
          <w:noProof/>
          <w:sz w:val="24"/>
        </w:rPr>
        <w:t>Toulouse, France, November 15</w:t>
      </w:r>
      <w:r w:rsidR="000C416C">
        <w:rPr>
          <w:rFonts w:ascii="Arial" w:eastAsia="MS Mincho" w:hAnsi="Arial"/>
          <w:b/>
          <w:noProof/>
          <w:sz w:val="24"/>
        </w:rPr>
        <w:t xml:space="preserve"> – </w:t>
      </w:r>
      <w:r w:rsidR="005F7843">
        <w:rPr>
          <w:rFonts w:ascii="Arial" w:eastAsia="MS Mincho" w:hAnsi="Arial"/>
          <w:b/>
          <w:noProof/>
          <w:sz w:val="24"/>
        </w:rPr>
        <w:t>19</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899D72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850CBF">
        <w:rPr>
          <w:sz w:val="24"/>
          <w:lang w:val="pt-PT"/>
        </w:rPr>
        <w:t>8</w:t>
      </w:r>
      <w:r w:rsidR="008460EF">
        <w:rPr>
          <w:sz w:val="24"/>
          <w:lang w:val="pt-PT"/>
        </w:rPr>
        <w:t>.</w:t>
      </w:r>
      <w:r w:rsidR="00850CBF">
        <w:rPr>
          <w:sz w:val="24"/>
          <w:lang w:val="pt-PT"/>
        </w:rPr>
        <w:t>12.2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3447D08"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50CBF">
        <w:rPr>
          <w:rFonts w:ascii="Arial" w:hAnsi="Arial"/>
          <w:sz w:val="24"/>
        </w:rPr>
        <w:t xml:space="preserve">Enhancements for IAB-node mobility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05E8E311" w:rsidR="00B65E42" w:rsidRDefault="00BF49E1" w:rsidP="006600CD">
      <w:pPr>
        <w:spacing w:after="0"/>
      </w:pPr>
      <w:r>
        <w:t>In the last meeting, RAN2 achieved the following agreements</w:t>
      </w:r>
      <w:r w:rsidR="00D80F5E">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1582578F" w14:textId="77777777" w:rsidR="00C96CAE" w:rsidRPr="00C96CAE" w:rsidRDefault="00C96CAE" w:rsidP="00C96CAE">
            <w:pPr>
              <w:pStyle w:val="Agreement"/>
              <w:tabs>
                <w:tab w:val="clear" w:pos="-4900"/>
                <w:tab w:val="num" w:pos="1619"/>
              </w:tabs>
              <w:ind w:left="360"/>
              <w:rPr>
                <w:b w:val="0"/>
                <w:bCs/>
                <w:sz w:val="18"/>
                <w:szCs w:val="22"/>
              </w:rPr>
            </w:pPr>
            <w:r w:rsidRPr="00C96CAE">
              <w:rPr>
                <w:b w:val="0"/>
                <w:bCs/>
                <w:sz w:val="18"/>
                <w:szCs w:val="22"/>
              </w:rPr>
              <w:t>UE capability signalling is the baseline to let CU know that the MT is a “mobile-IAB” type. FFS early mobile-IAB indication, e.g. in Msg5.</w:t>
            </w:r>
          </w:p>
          <w:p w14:paraId="4465B8C1" w14:textId="77777777" w:rsidR="00C96CAE" w:rsidRPr="00C96CAE" w:rsidRDefault="00C96CAE" w:rsidP="00C96CAE">
            <w:pPr>
              <w:pStyle w:val="Agreement"/>
              <w:tabs>
                <w:tab w:val="clear" w:pos="-4900"/>
                <w:tab w:val="num" w:pos="1619"/>
              </w:tabs>
              <w:ind w:left="360"/>
              <w:rPr>
                <w:b w:val="0"/>
                <w:bCs/>
                <w:sz w:val="18"/>
                <w:szCs w:val="22"/>
              </w:rPr>
            </w:pPr>
            <w:r w:rsidRPr="00C96CAE">
              <w:rPr>
                <w:b w:val="0"/>
                <w:bCs/>
                <w:sz w:val="18"/>
                <w:szCs w:val="22"/>
              </w:rPr>
              <w:t xml:space="preserve">Regarding moving status/mode indication, R2 observes that legacy reporting of mobility state (e.g. </w:t>
            </w:r>
            <w:r w:rsidRPr="00C96CAE">
              <w:rPr>
                <w:b w:val="0"/>
                <w:bCs/>
                <w:i/>
                <w:sz w:val="18"/>
                <w:szCs w:val="22"/>
              </w:rPr>
              <w:t>mobilityState-r16</w:t>
            </w:r>
            <w:r w:rsidRPr="00C96CAE">
              <w:rPr>
                <w:b w:val="0"/>
                <w:bCs/>
                <w:sz w:val="18"/>
                <w:szCs w:val="22"/>
              </w:rPr>
              <w:t>) could be reused, and maybe also current location reporting from the UE. FFS whether any of this need to be enhanced or complemented, e.g. for the potential purpose of predictive mobility.</w:t>
            </w:r>
          </w:p>
          <w:p w14:paraId="40AAB2D0" w14:textId="77777777" w:rsidR="00C96CAE" w:rsidRPr="00C96CAE" w:rsidRDefault="00C96CAE" w:rsidP="00C96CAE">
            <w:pPr>
              <w:pStyle w:val="Agreement"/>
              <w:tabs>
                <w:tab w:val="clear" w:pos="-4900"/>
                <w:tab w:val="num" w:pos="1619"/>
              </w:tabs>
              <w:ind w:left="360"/>
              <w:rPr>
                <w:b w:val="0"/>
                <w:bCs/>
                <w:sz w:val="18"/>
                <w:szCs w:val="22"/>
              </w:rPr>
            </w:pPr>
            <w:r w:rsidRPr="00C96CAE">
              <w:rPr>
                <w:b w:val="0"/>
                <w:bCs/>
                <w:sz w:val="18"/>
                <w:szCs w:val="22"/>
              </w:rPr>
              <w:t>FFS if to Introduce that stationary network broadcasts indication of “supporting mobile-IAB” (into intended for the Mobile IAB MT)</w:t>
            </w:r>
          </w:p>
          <w:p w14:paraId="1D89C59C" w14:textId="77777777" w:rsidR="00C96CAE" w:rsidRPr="00C96CAE" w:rsidRDefault="00C96CAE" w:rsidP="00C96CAE">
            <w:pPr>
              <w:pStyle w:val="Agreement"/>
              <w:tabs>
                <w:tab w:val="clear" w:pos="-4900"/>
                <w:tab w:val="num" w:pos="1619"/>
              </w:tabs>
              <w:ind w:left="360"/>
              <w:rPr>
                <w:b w:val="0"/>
                <w:bCs/>
                <w:sz w:val="18"/>
                <w:szCs w:val="22"/>
              </w:rPr>
            </w:pPr>
            <w:r w:rsidRPr="00C96CAE">
              <w:rPr>
                <w:b w:val="0"/>
                <w:bCs/>
                <w:sz w:val="18"/>
                <w:szCs w:val="22"/>
              </w:rPr>
              <w:t xml:space="preserve">RAN2 confirms that Mobile IAB need to work with legacy UEs. </w:t>
            </w:r>
          </w:p>
          <w:p w14:paraId="496EA3A6" w14:textId="77777777" w:rsidR="00C96CAE" w:rsidRPr="00C96CAE" w:rsidRDefault="00C96CAE" w:rsidP="00C96CAE">
            <w:pPr>
              <w:pStyle w:val="Agreement"/>
              <w:tabs>
                <w:tab w:val="clear" w:pos="-4900"/>
                <w:tab w:val="num" w:pos="1619"/>
              </w:tabs>
              <w:ind w:left="360"/>
              <w:rPr>
                <w:b w:val="0"/>
                <w:bCs/>
                <w:sz w:val="18"/>
                <w:szCs w:val="22"/>
              </w:rPr>
            </w:pPr>
            <w:r w:rsidRPr="00C96CAE">
              <w:rPr>
                <w:b w:val="0"/>
                <w:bCs/>
                <w:sz w:val="18"/>
                <w:szCs w:val="22"/>
              </w:rPr>
              <w:t xml:space="preserve">RAN2 observes that a UE could potentially consider itself on-board of a mobile-IAB cell, if the UE camps on/connects to a mobile IAB cell during a long period (i.e. the UE then need to know that this is such a cell). FFS the time. FFS if this is needed. </w:t>
            </w:r>
          </w:p>
          <w:p w14:paraId="057AFFE7" w14:textId="77777777" w:rsidR="00C96CAE" w:rsidRPr="00C96CAE" w:rsidRDefault="00C96CAE" w:rsidP="00C96CAE">
            <w:pPr>
              <w:pStyle w:val="Doc-text2"/>
              <w:ind w:left="0" w:firstLine="0"/>
              <w:rPr>
                <w:bCs/>
                <w:sz w:val="18"/>
                <w:szCs w:val="22"/>
              </w:rPr>
            </w:pPr>
            <w:bookmarkStart w:id="0" w:name="_Hlk116404109"/>
          </w:p>
          <w:p w14:paraId="5AB7E149" w14:textId="77777777" w:rsidR="00C96CAE" w:rsidRPr="00C96CAE" w:rsidRDefault="00C96CAE" w:rsidP="00C96CAE">
            <w:pPr>
              <w:pStyle w:val="Agreement"/>
              <w:tabs>
                <w:tab w:val="clear" w:pos="-4900"/>
                <w:tab w:val="num" w:pos="1619"/>
              </w:tabs>
              <w:ind w:left="360"/>
              <w:rPr>
                <w:b w:val="0"/>
                <w:bCs/>
                <w:sz w:val="18"/>
                <w:szCs w:val="22"/>
              </w:rPr>
            </w:pPr>
            <w:r w:rsidRPr="00C96CAE">
              <w:rPr>
                <w:b w:val="0"/>
                <w:bCs/>
                <w:sz w:val="18"/>
                <w:szCs w:val="22"/>
              </w:rPr>
              <w:t xml:space="preserve">RAN2 assume below for the UEs </w:t>
            </w:r>
            <w:r w:rsidRPr="00C96CAE">
              <w:rPr>
                <w:rFonts w:eastAsia="SimSun"/>
                <w:b w:val="0"/>
                <w:bCs/>
                <w:sz w:val="18"/>
                <w:szCs w:val="22"/>
              </w:rPr>
              <w:t>working in the mobile IAB cell (may be obvious):</w:t>
            </w:r>
          </w:p>
          <w:p w14:paraId="5B4A9957" w14:textId="77777777" w:rsidR="00C96CAE" w:rsidRPr="00C96CAE" w:rsidRDefault="00C96CAE" w:rsidP="00C96CAE">
            <w:pPr>
              <w:pStyle w:val="Agreement"/>
              <w:numPr>
                <w:ilvl w:val="0"/>
                <w:numId w:val="0"/>
              </w:numPr>
              <w:ind w:left="360"/>
              <w:rPr>
                <w:b w:val="0"/>
                <w:bCs/>
                <w:sz w:val="18"/>
                <w:szCs w:val="22"/>
              </w:rPr>
            </w:pPr>
            <w:r w:rsidRPr="00C96CAE">
              <w:rPr>
                <w:b w:val="0"/>
                <w:bCs/>
                <w:sz w:val="18"/>
                <w:szCs w:val="22"/>
              </w:rPr>
              <w:t>Assumption 1: From the NW perspective of mobile-IAB cell, the principle of setting the legacy parameters (including cell (re)selection, cell reservations and access restrictions) does not change, compared to the legacy IAB cell.</w:t>
            </w:r>
          </w:p>
          <w:p w14:paraId="57E9870E" w14:textId="77777777" w:rsidR="00C96CAE" w:rsidRPr="00C96CAE" w:rsidRDefault="00C96CAE" w:rsidP="00C96CAE">
            <w:pPr>
              <w:pStyle w:val="Agreement"/>
              <w:numPr>
                <w:ilvl w:val="0"/>
                <w:numId w:val="0"/>
              </w:numPr>
              <w:ind w:left="360"/>
              <w:rPr>
                <w:b w:val="0"/>
                <w:bCs/>
                <w:sz w:val="18"/>
                <w:szCs w:val="22"/>
              </w:rPr>
            </w:pPr>
            <w:r w:rsidRPr="00C96CAE">
              <w:rPr>
                <w:b w:val="0"/>
                <w:bCs/>
                <w:sz w:val="18"/>
                <w:szCs w:val="22"/>
              </w:rPr>
              <w:t>Assumption 2: No spec impact to legacy UEs behaviors.</w:t>
            </w:r>
          </w:p>
          <w:p w14:paraId="34EF05DE" w14:textId="77777777" w:rsidR="00C96CAE" w:rsidRPr="00C96CAE" w:rsidRDefault="00C96CAE" w:rsidP="00C96CAE">
            <w:pPr>
              <w:pStyle w:val="Agreement"/>
              <w:numPr>
                <w:ilvl w:val="0"/>
                <w:numId w:val="0"/>
              </w:numPr>
              <w:ind w:left="360"/>
              <w:rPr>
                <w:b w:val="0"/>
                <w:bCs/>
                <w:sz w:val="18"/>
                <w:szCs w:val="22"/>
              </w:rPr>
            </w:pPr>
            <w:r w:rsidRPr="00C96CAE">
              <w:rPr>
                <w:b w:val="0"/>
                <w:bCs/>
                <w:sz w:val="18"/>
                <w:szCs w:val="22"/>
              </w:rPr>
              <w:t>Assumption 3: Any R18 newly broadcasted info of mobile-IAB cell (if agreed) does not forbid/control the access of legacy UEs.</w:t>
            </w:r>
          </w:p>
          <w:p w14:paraId="50C0F10F" w14:textId="77777777" w:rsidR="00C96CAE" w:rsidRPr="00C96CAE" w:rsidRDefault="00C96CAE" w:rsidP="00C96CAE">
            <w:pPr>
              <w:pStyle w:val="Agreement"/>
              <w:numPr>
                <w:ilvl w:val="0"/>
                <w:numId w:val="0"/>
              </w:numPr>
              <w:ind w:left="360"/>
              <w:rPr>
                <w:b w:val="0"/>
                <w:bCs/>
                <w:sz w:val="18"/>
                <w:szCs w:val="22"/>
              </w:rPr>
            </w:pPr>
            <w:r w:rsidRPr="00C96CAE">
              <w:rPr>
                <w:b w:val="0"/>
                <w:bCs/>
                <w:sz w:val="18"/>
                <w:szCs w:val="22"/>
              </w:rPr>
              <w:t>Assumption 4: Non-enhanced UEs (including legacy UEs and R18 UEs not supporting the enhancement) just ignore the R18 newly broadcasted info of mobile-IAB cell (if agreed).</w:t>
            </w:r>
          </w:p>
          <w:p w14:paraId="14ECBD5E" w14:textId="77777777" w:rsidR="00C96CAE" w:rsidRPr="00C96CAE" w:rsidRDefault="00C96CAE" w:rsidP="00C96CAE">
            <w:pPr>
              <w:pStyle w:val="Agreement"/>
              <w:tabs>
                <w:tab w:val="clear" w:pos="-4900"/>
                <w:tab w:val="num" w:pos="1619"/>
              </w:tabs>
              <w:ind w:left="360"/>
              <w:rPr>
                <w:b w:val="0"/>
                <w:bCs/>
                <w:sz w:val="18"/>
                <w:szCs w:val="22"/>
              </w:rPr>
            </w:pPr>
            <w:r w:rsidRPr="00C96CAE">
              <w:rPr>
                <w:b w:val="0"/>
                <w:bCs/>
                <w:sz w:val="18"/>
                <w:szCs w:val="22"/>
              </w:rPr>
              <w:t>RAN2 assumption: For the mobile IAB cell broadcasting info:</w:t>
            </w:r>
          </w:p>
          <w:p w14:paraId="59298EB9" w14:textId="77777777" w:rsidR="00C96CAE" w:rsidRPr="00C96CAE" w:rsidRDefault="00C96CAE" w:rsidP="00C96CAE">
            <w:pPr>
              <w:pStyle w:val="Agreement"/>
              <w:numPr>
                <w:ilvl w:val="0"/>
                <w:numId w:val="0"/>
              </w:numPr>
              <w:ind w:left="360"/>
              <w:rPr>
                <w:b w:val="0"/>
                <w:bCs/>
                <w:sz w:val="18"/>
                <w:szCs w:val="22"/>
              </w:rPr>
            </w:pPr>
            <w:r w:rsidRPr="00C96CAE">
              <w:rPr>
                <w:b w:val="0"/>
                <w:bCs/>
                <w:sz w:val="18"/>
                <w:szCs w:val="22"/>
              </w:rPr>
              <w:t>1 bit mobile-IAB cell type indication is introduced, to assist mobility in Idle/Inactive mode for Rel-18 UEs (FFS if to assist UE to know it is onboard, if this need to be known)</w:t>
            </w:r>
          </w:p>
          <w:p w14:paraId="2A55254D" w14:textId="77777777" w:rsidR="00C96CAE" w:rsidRPr="00C96CAE" w:rsidRDefault="00C96CAE" w:rsidP="00C96CAE">
            <w:pPr>
              <w:pStyle w:val="Agreement"/>
              <w:numPr>
                <w:ilvl w:val="0"/>
                <w:numId w:val="0"/>
              </w:numPr>
              <w:ind w:left="360"/>
              <w:rPr>
                <w:b w:val="0"/>
                <w:bCs/>
                <w:sz w:val="18"/>
                <w:szCs w:val="22"/>
              </w:rPr>
            </w:pPr>
            <w:r w:rsidRPr="00C96CAE">
              <w:rPr>
                <w:b w:val="0"/>
                <w:bCs/>
                <w:sz w:val="18"/>
                <w:szCs w:val="22"/>
              </w:rPr>
              <w:t>FFS how this is used (might be implementation specific).</w:t>
            </w:r>
          </w:p>
          <w:p w14:paraId="1F84C980" w14:textId="77777777" w:rsidR="00C96CAE" w:rsidRPr="00C96CAE" w:rsidRDefault="00C96CAE" w:rsidP="00C96CAE">
            <w:pPr>
              <w:pStyle w:val="Agreement"/>
              <w:tabs>
                <w:tab w:val="clear" w:pos="-4900"/>
                <w:tab w:val="num" w:pos="1619"/>
              </w:tabs>
              <w:ind w:left="360"/>
              <w:rPr>
                <w:b w:val="0"/>
                <w:bCs/>
                <w:sz w:val="18"/>
                <w:szCs w:val="22"/>
              </w:rPr>
            </w:pPr>
            <w:r w:rsidRPr="00C96CAE">
              <w:rPr>
                <w:b w:val="0"/>
                <w:bCs/>
                <w:sz w:val="18"/>
                <w:szCs w:val="22"/>
              </w:rPr>
              <w:t>RAN2 has from the Mobile IAB WI perspective not identified any modifications to prevent the surrounding UE from accessing the mobile IAB-node, but believes that SA2 may be working on Rel-18 solutions that may be applicable (wait for SA2)</w:t>
            </w:r>
            <w:bookmarkEnd w:id="0"/>
          </w:p>
          <w:p w14:paraId="4432F4C3" w14:textId="77777777" w:rsidR="00C96CAE" w:rsidRPr="00C96CAE" w:rsidRDefault="00C96CAE" w:rsidP="00C96CAE">
            <w:pPr>
              <w:pStyle w:val="Doc-text2"/>
              <w:ind w:left="0" w:firstLine="0"/>
              <w:rPr>
                <w:bCs/>
                <w:sz w:val="18"/>
                <w:szCs w:val="22"/>
              </w:rPr>
            </w:pPr>
          </w:p>
          <w:p w14:paraId="6F74950B" w14:textId="77777777" w:rsidR="00C96CAE" w:rsidRPr="00C96CAE" w:rsidRDefault="00C96CAE" w:rsidP="00C96CAE">
            <w:pPr>
              <w:pStyle w:val="Agreement"/>
              <w:tabs>
                <w:tab w:val="clear" w:pos="-4900"/>
                <w:tab w:val="num" w:pos="1619"/>
              </w:tabs>
              <w:ind w:left="360"/>
              <w:rPr>
                <w:b w:val="0"/>
                <w:bCs/>
                <w:sz w:val="18"/>
                <w:szCs w:val="22"/>
              </w:rPr>
            </w:pPr>
            <w:r w:rsidRPr="00C96CAE">
              <w:rPr>
                <w:b w:val="0"/>
                <w:bCs/>
                <w:sz w:val="18"/>
                <w:szCs w:val="22"/>
              </w:rPr>
              <w:t xml:space="preserve">RAN2 assumes that O1 and O3 above could work, and FFS if O2 above (new trigger etc) is needed. </w:t>
            </w:r>
          </w:p>
          <w:p w14:paraId="080149EE" w14:textId="10B953D3" w:rsidR="00B65E42" w:rsidRPr="00BF49E1" w:rsidRDefault="00C96CAE" w:rsidP="00C96CAE">
            <w:pPr>
              <w:pStyle w:val="Doc-comment"/>
              <w:ind w:left="0" w:firstLine="0"/>
            </w:pPr>
            <w:r>
              <w:t xml:space="preserve"> </w:t>
            </w:r>
          </w:p>
        </w:tc>
      </w:tr>
    </w:tbl>
    <w:p w14:paraId="5CA0210C" w14:textId="77777777" w:rsidR="00B65E42" w:rsidRDefault="00B65E42" w:rsidP="006600CD">
      <w:pPr>
        <w:spacing w:after="0"/>
      </w:pPr>
    </w:p>
    <w:p w14:paraId="662C4159" w14:textId="4C6FB835" w:rsidR="00F705E6" w:rsidRDefault="00D80F5E" w:rsidP="00F705E6">
      <w:pPr>
        <w:spacing w:after="0"/>
      </w:pPr>
      <w:r>
        <w:t xml:space="preserve">This contribution </w:t>
      </w:r>
      <w:r w:rsidR="0054417F">
        <w:t xml:space="preserve">further </w:t>
      </w:r>
      <w:r>
        <w:t xml:space="preserve">discusses </w:t>
      </w:r>
      <w:r w:rsidR="006729E9">
        <w:t>topics</w:t>
      </w:r>
      <w:r w:rsidR="005E359C">
        <w:t xml:space="preserve"> </w:t>
      </w:r>
      <w:r w:rsidR="006729E9">
        <w:t xml:space="preserve">related to </w:t>
      </w:r>
      <w:r w:rsidR="0054417F">
        <w:t>the mobility of the IAB-node and its UEs</w:t>
      </w:r>
      <w:r w:rsidR="00C01E8E">
        <w:t>.</w:t>
      </w:r>
    </w:p>
    <w:p w14:paraId="567263CA" w14:textId="77777777" w:rsidR="00F705E6" w:rsidRPr="00320A6B" w:rsidRDefault="00F705E6" w:rsidP="00382A17"/>
    <w:p w14:paraId="68AF9242" w14:textId="211BF4F2" w:rsidR="00CD4C7B" w:rsidRPr="00320A6B" w:rsidRDefault="00CD4C7B" w:rsidP="00CD4C7B">
      <w:pPr>
        <w:pStyle w:val="Heading1"/>
      </w:pPr>
      <w:r w:rsidRPr="00320A6B">
        <w:t>2</w:t>
      </w:r>
      <w:r w:rsidRPr="00320A6B">
        <w:tab/>
      </w:r>
      <w:r w:rsidR="00A66990">
        <w:t>Discussion</w:t>
      </w:r>
    </w:p>
    <w:p w14:paraId="1799098C" w14:textId="45626AB3" w:rsidR="005E359C" w:rsidRDefault="005E359C" w:rsidP="005E359C">
      <w:pPr>
        <w:pStyle w:val="Heading2"/>
      </w:pPr>
      <w:r>
        <w:t>2.1</w:t>
      </w:r>
      <w:r>
        <w:tab/>
        <w:t>Enhancements for cell (re-)selection</w:t>
      </w:r>
    </w:p>
    <w:p w14:paraId="21B2D70C" w14:textId="6523599D" w:rsidR="00D73F4E" w:rsidRPr="00D015EF" w:rsidRDefault="00D73F4E" w:rsidP="00D73F4E">
      <w:pPr>
        <w:pStyle w:val="Doc-text2"/>
        <w:spacing w:after="120"/>
        <w:ind w:left="0" w:firstLine="0"/>
        <w:rPr>
          <w:rFonts w:ascii="Times New Roman" w:eastAsia="Times New Roman" w:hAnsi="Times New Roman"/>
          <w:b/>
          <w:bCs/>
          <w:u w:val="single"/>
        </w:rPr>
      </w:pPr>
      <w:r w:rsidRPr="00D015EF">
        <w:rPr>
          <w:rFonts w:ascii="Times New Roman" w:hAnsi="Times New Roman"/>
          <w:b/>
          <w:bCs/>
          <w:u w:val="single"/>
        </w:rPr>
        <w:t xml:space="preserve">Issue 1: </w:t>
      </w:r>
      <w:r w:rsidRPr="00D015EF">
        <w:rPr>
          <w:rFonts w:ascii="Times New Roman" w:eastAsia="Times New Roman" w:hAnsi="Times New Roman"/>
          <w:b/>
          <w:bCs/>
          <w:u w:val="single"/>
        </w:rPr>
        <w:t>How mobile-cell-type indication is used by the UE</w:t>
      </w:r>
    </w:p>
    <w:p w14:paraId="1831C430" w14:textId="67143BFB" w:rsidR="00D73F4E" w:rsidRPr="00D73F4E" w:rsidRDefault="00D73F4E" w:rsidP="00D73F4E">
      <w:pPr>
        <w:pStyle w:val="Doc-text2"/>
        <w:spacing w:after="120"/>
        <w:ind w:left="0" w:firstLine="0"/>
        <w:rPr>
          <w:rFonts w:ascii="Times New Roman" w:eastAsia="Times New Roman" w:hAnsi="Times New Roman"/>
        </w:rPr>
      </w:pPr>
      <w:r w:rsidRPr="00D73F4E">
        <w:rPr>
          <w:rFonts w:ascii="Times New Roman" w:eastAsia="Times New Roman" w:hAnsi="Times New Roman"/>
        </w:rPr>
        <w:lastRenderedPageBreak/>
        <w:t xml:space="preserve">The usage of the mobile-cell-type indication </w:t>
      </w:r>
      <w:r>
        <w:rPr>
          <w:rFonts w:ascii="Times New Roman" w:eastAsia="Times New Roman" w:hAnsi="Times New Roman"/>
        </w:rPr>
        <w:t xml:space="preserve">by Rel-18 UEs </w:t>
      </w:r>
      <w:r w:rsidRPr="00D73F4E">
        <w:rPr>
          <w:rFonts w:ascii="Times New Roman" w:eastAsia="Times New Roman" w:hAnsi="Times New Roman"/>
        </w:rPr>
        <w:t>can be left up to implementation.</w:t>
      </w:r>
    </w:p>
    <w:p w14:paraId="06E26F4E" w14:textId="1A91780E" w:rsidR="00D73F4E" w:rsidRPr="00D73F4E" w:rsidRDefault="00D73F4E" w:rsidP="00D73F4E">
      <w:pPr>
        <w:pStyle w:val="Doc-text2"/>
        <w:spacing w:after="120"/>
        <w:ind w:left="0" w:firstLine="0"/>
        <w:rPr>
          <w:rFonts w:ascii="Times New Roman" w:eastAsia="Times New Roman" w:hAnsi="Times New Roman"/>
          <w:b/>
          <w:bCs/>
        </w:rPr>
      </w:pPr>
      <w:r w:rsidRPr="00D73F4E">
        <w:rPr>
          <w:rFonts w:ascii="Times New Roman" w:eastAsia="Times New Roman" w:hAnsi="Times New Roman"/>
          <w:b/>
          <w:bCs/>
        </w:rPr>
        <w:t>Proposal 1-1: Usage of mobile-cell-type indication by Rel-18 UEs to be left up to implementation.</w:t>
      </w:r>
    </w:p>
    <w:p w14:paraId="7816E87B" w14:textId="77777777" w:rsidR="00D73F4E" w:rsidRPr="00D73F4E" w:rsidRDefault="00D73F4E" w:rsidP="00D73F4E">
      <w:pPr>
        <w:pStyle w:val="Doc-text2"/>
        <w:spacing w:after="120"/>
        <w:ind w:left="0" w:firstLine="0"/>
        <w:rPr>
          <w:rFonts w:ascii="Times New Roman" w:eastAsia="Times New Roman" w:hAnsi="Times New Roman"/>
          <w:u w:val="single"/>
        </w:rPr>
      </w:pPr>
    </w:p>
    <w:p w14:paraId="128364C5" w14:textId="4752CCC8" w:rsidR="00D73F4E" w:rsidRPr="00D73F4E" w:rsidRDefault="00D73F4E" w:rsidP="00D73F4E">
      <w:pPr>
        <w:pStyle w:val="Doc-text2"/>
        <w:spacing w:after="120"/>
        <w:ind w:left="0" w:firstLine="0"/>
        <w:rPr>
          <w:rFonts w:ascii="Times New Roman" w:eastAsia="Times New Roman" w:hAnsi="Times New Roman"/>
          <w:u w:val="single"/>
        </w:rPr>
      </w:pPr>
      <w:r w:rsidRPr="00D73F4E">
        <w:rPr>
          <w:rFonts w:ascii="Times New Roman" w:hAnsi="Times New Roman"/>
          <w:u w:val="single"/>
        </w:rPr>
        <w:t xml:space="preserve">Issue 2: </w:t>
      </w:r>
      <w:r w:rsidRPr="00D73F4E">
        <w:rPr>
          <w:rFonts w:ascii="Times New Roman" w:eastAsia="Times New Roman" w:hAnsi="Times New Roman"/>
          <w:u w:val="single"/>
        </w:rPr>
        <w:t xml:space="preserve">Which SIB </w:t>
      </w:r>
      <w:r>
        <w:rPr>
          <w:rFonts w:ascii="Times New Roman" w:eastAsia="Times New Roman" w:hAnsi="Times New Roman"/>
          <w:u w:val="single"/>
        </w:rPr>
        <w:t>to be</w:t>
      </w:r>
      <w:r w:rsidRPr="00D73F4E">
        <w:rPr>
          <w:rFonts w:ascii="Times New Roman" w:eastAsia="Times New Roman" w:hAnsi="Times New Roman"/>
          <w:u w:val="single"/>
        </w:rPr>
        <w:t xml:space="preserve"> used for </w:t>
      </w:r>
      <w:r w:rsidR="00D015EF">
        <w:rPr>
          <w:rFonts w:ascii="Times New Roman" w:eastAsia="Times New Roman" w:hAnsi="Times New Roman"/>
          <w:u w:val="single"/>
        </w:rPr>
        <w:t>the mobile-cell-type</w:t>
      </w:r>
      <w:r w:rsidRPr="00D73F4E">
        <w:rPr>
          <w:rFonts w:ascii="Times New Roman" w:eastAsia="Times New Roman" w:hAnsi="Times New Roman"/>
          <w:u w:val="single"/>
        </w:rPr>
        <w:t xml:space="preserve"> broadcast</w:t>
      </w:r>
    </w:p>
    <w:p w14:paraId="340437DB" w14:textId="21288628" w:rsidR="00D73F4E" w:rsidRPr="00D73F4E" w:rsidRDefault="00D73F4E" w:rsidP="00D73F4E">
      <w:pPr>
        <w:pStyle w:val="Doc-text2"/>
        <w:spacing w:after="120"/>
        <w:ind w:left="0" w:firstLine="0"/>
        <w:rPr>
          <w:rFonts w:ascii="Times New Roman" w:eastAsia="Times New Roman" w:hAnsi="Times New Roman"/>
        </w:rPr>
      </w:pPr>
      <w:r>
        <w:rPr>
          <w:rFonts w:ascii="Times New Roman" w:eastAsia="Times New Roman" w:hAnsi="Times New Roman"/>
        </w:rPr>
        <w:t>The mobile-cell-type indication only contains 1 bit. Th</w:t>
      </w:r>
      <w:r w:rsidR="00D015EF">
        <w:rPr>
          <w:rFonts w:ascii="Times New Roman" w:eastAsia="Times New Roman" w:hAnsi="Times New Roman"/>
        </w:rPr>
        <w:t>e</w:t>
      </w:r>
      <w:r>
        <w:rPr>
          <w:rFonts w:ascii="Times New Roman" w:eastAsia="Times New Roman" w:hAnsi="Times New Roman"/>
        </w:rPr>
        <w:t xml:space="preserve"> indicat</w:t>
      </w:r>
      <w:r w:rsidR="00D015EF">
        <w:rPr>
          <w:rFonts w:ascii="Times New Roman" w:eastAsia="Times New Roman" w:hAnsi="Times New Roman"/>
        </w:rPr>
        <w:t>ion</w:t>
      </w:r>
      <w:r>
        <w:rPr>
          <w:rFonts w:ascii="Times New Roman" w:eastAsia="Times New Roman" w:hAnsi="Times New Roman"/>
        </w:rPr>
        <w:t xml:space="preserve"> is </w:t>
      </w:r>
      <w:r w:rsidR="00D015EF">
        <w:rPr>
          <w:rFonts w:ascii="Times New Roman" w:eastAsia="Times New Roman" w:hAnsi="Times New Roman"/>
        </w:rPr>
        <w:t xml:space="preserve">of static nature </w:t>
      </w:r>
      <w:r>
        <w:rPr>
          <w:rFonts w:ascii="Times New Roman" w:eastAsia="Times New Roman" w:hAnsi="Times New Roman"/>
        </w:rPr>
        <w:t xml:space="preserve">and </w:t>
      </w:r>
      <w:r w:rsidR="00D015EF">
        <w:rPr>
          <w:rFonts w:ascii="Times New Roman" w:eastAsia="Times New Roman" w:hAnsi="Times New Roman"/>
        </w:rPr>
        <w:t xml:space="preserve">can </w:t>
      </w:r>
      <w:r>
        <w:rPr>
          <w:rFonts w:ascii="Times New Roman" w:eastAsia="Times New Roman" w:hAnsi="Times New Roman"/>
        </w:rPr>
        <w:t xml:space="preserve">therefore </w:t>
      </w:r>
      <w:r w:rsidR="00D015EF">
        <w:rPr>
          <w:rFonts w:ascii="Times New Roman" w:eastAsia="Times New Roman" w:hAnsi="Times New Roman"/>
        </w:rPr>
        <w:t xml:space="preserve">be </w:t>
      </w:r>
      <w:r>
        <w:rPr>
          <w:rFonts w:ascii="Times New Roman" w:eastAsia="Times New Roman" w:hAnsi="Times New Roman"/>
        </w:rPr>
        <w:t>OAM-configured. It is not expected that this indicator needs to be updated by the CU. For these reasons, the indicator should be included into SIB1.</w:t>
      </w:r>
    </w:p>
    <w:p w14:paraId="6C1A8129" w14:textId="2A4BBC68" w:rsidR="00D73F4E" w:rsidRDefault="00D73F4E" w:rsidP="00D73F4E">
      <w:pPr>
        <w:pStyle w:val="Doc-text2"/>
        <w:spacing w:after="120"/>
        <w:ind w:left="0" w:firstLine="0"/>
        <w:rPr>
          <w:rFonts w:ascii="Times New Roman" w:eastAsia="Times New Roman" w:hAnsi="Times New Roman"/>
          <w:b/>
          <w:bCs/>
        </w:rPr>
      </w:pPr>
      <w:r>
        <w:rPr>
          <w:rFonts w:ascii="Times New Roman" w:eastAsia="Times New Roman" w:hAnsi="Times New Roman"/>
          <w:b/>
          <w:bCs/>
        </w:rPr>
        <w:t xml:space="preserve">Observation 1-1: The mobile-cell-type indicator </w:t>
      </w:r>
      <w:r w:rsidR="0020159A">
        <w:rPr>
          <w:rFonts w:ascii="Times New Roman" w:eastAsia="Times New Roman" w:hAnsi="Times New Roman"/>
          <w:b/>
          <w:bCs/>
        </w:rPr>
        <w:t>can be contained in SIB1 since 1) it on</w:t>
      </w:r>
      <w:r>
        <w:rPr>
          <w:rFonts w:ascii="Times New Roman" w:eastAsia="Times New Roman" w:hAnsi="Times New Roman"/>
          <w:b/>
          <w:bCs/>
        </w:rPr>
        <w:t>ly uses 1bit</w:t>
      </w:r>
      <w:r w:rsidR="0020159A">
        <w:rPr>
          <w:rFonts w:ascii="Times New Roman" w:eastAsia="Times New Roman" w:hAnsi="Times New Roman"/>
          <w:b/>
          <w:bCs/>
        </w:rPr>
        <w:t>, and 2) it</w:t>
      </w:r>
      <w:r>
        <w:rPr>
          <w:rFonts w:ascii="Times New Roman" w:eastAsia="Times New Roman" w:hAnsi="Times New Roman"/>
          <w:b/>
          <w:bCs/>
        </w:rPr>
        <w:t xml:space="preserve"> can be OAM-configured </w:t>
      </w:r>
      <w:r w:rsidR="0020159A">
        <w:rPr>
          <w:rFonts w:ascii="Times New Roman" w:eastAsia="Times New Roman" w:hAnsi="Times New Roman"/>
          <w:b/>
          <w:bCs/>
        </w:rPr>
        <w:t xml:space="preserve">as </w:t>
      </w:r>
      <w:r w:rsidR="00D015EF">
        <w:rPr>
          <w:rFonts w:ascii="Times New Roman" w:eastAsia="Times New Roman" w:hAnsi="Times New Roman"/>
          <w:b/>
          <w:bCs/>
        </w:rPr>
        <w:t>it is static in nature and need not be reconfigured by the</w:t>
      </w:r>
      <w:r>
        <w:rPr>
          <w:rFonts w:ascii="Times New Roman" w:eastAsia="Times New Roman" w:hAnsi="Times New Roman"/>
          <w:b/>
          <w:bCs/>
        </w:rPr>
        <w:t xml:space="preserve"> CU.</w:t>
      </w:r>
    </w:p>
    <w:p w14:paraId="20DFAAAC" w14:textId="32BF3329" w:rsidR="00D73F4E" w:rsidRPr="00D73F4E" w:rsidRDefault="00D73F4E" w:rsidP="00D73F4E">
      <w:pPr>
        <w:pStyle w:val="Doc-text2"/>
        <w:spacing w:after="120"/>
        <w:ind w:left="0" w:firstLine="0"/>
        <w:rPr>
          <w:rFonts w:ascii="Times New Roman" w:eastAsia="Times New Roman" w:hAnsi="Times New Roman"/>
          <w:b/>
          <w:bCs/>
        </w:rPr>
      </w:pPr>
      <w:r w:rsidRPr="00D73F4E">
        <w:rPr>
          <w:rFonts w:ascii="Times New Roman" w:eastAsia="Times New Roman" w:hAnsi="Times New Roman"/>
          <w:b/>
          <w:bCs/>
        </w:rPr>
        <w:t>Proposal 1-</w:t>
      </w:r>
      <w:r>
        <w:rPr>
          <w:rFonts w:ascii="Times New Roman" w:eastAsia="Times New Roman" w:hAnsi="Times New Roman"/>
          <w:b/>
          <w:bCs/>
        </w:rPr>
        <w:t>2</w:t>
      </w:r>
      <w:r w:rsidRPr="00D73F4E">
        <w:rPr>
          <w:rFonts w:ascii="Times New Roman" w:eastAsia="Times New Roman" w:hAnsi="Times New Roman"/>
          <w:b/>
          <w:bCs/>
        </w:rPr>
        <w:t xml:space="preserve">: </w:t>
      </w:r>
      <w:r>
        <w:rPr>
          <w:rFonts w:ascii="Times New Roman" w:eastAsia="Times New Roman" w:hAnsi="Times New Roman"/>
          <w:b/>
          <w:bCs/>
        </w:rPr>
        <w:t>Mobile-cell-type indicator to be included into SIB1</w:t>
      </w:r>
      <w:r w:rsidRPr="00D73F4E">
        <w:rPr>
          <w:rFonts w:ascii="Times New Roman" w:eastAsia="Times New Roman" w:hAnsi="Times New Roman"/>
          <w:b/>
          <w:bCs/>
        </w:rPr>
        <w:t>.</w:t>
      </w:r>
    </w:p>
    <w:p w14:paraId="7C27A00F" w14:textId="1734486D" w:rsidR="00D73F4E" w:rsidRPr="00D73F4E" w:rsidRDefault="00D73F4E" w:rsidP="00D73F4E">
      <w:pPr>
        <w:spacing w:after="120"/>
      </w:pPr>
    </w:p>
    <w:p w14:paraId="4E8F72FB" w14:textId="7359B5D2" w:rsidR="00AD4D8C" w:rsidRDefault="00AD4D8C" w:rsidP="00AD4D8C">
      <w:pPr>
        <w:pStyle w:val="Heading2"/>
      </w:pPr>
      <w:r>
        <w:t>2.2</w:t>
      </w:r>
      <w:r>
        <w:tab/>
      </w:r>
      <w:r w:rsidR="001A33F0">
        <w:t>Stationary network broadcast</w:t>
      </w:r>
    </w:p>
    <w:p w14:paraId="45201AFF" w14:textId="3224E9C2" w:rsidR="00924497" w:rsidRDefault="00924497" w:rsidP="00924497">
      <w:pPr>
        <w:pStyle w:val="Doc-text2"/>
        <w:spacing w:after="120"/>
        <w:ind w:left="0" w:firstLine="0"/>
        <w:rPr>
          <w:rFonts w:ascii="Times New Roman" w:eastAsia="Times New Roman" w:hAnsi="Times New Roman"/>
          <w:u w:val="single"/>
        </w:rPr>
      </w:pPr>
      <w:r w:rsidRPr="00D73F4E">
        <w:rPr>
          <w:rFonts w:ascii="Times New Roman" w:hAnsi="Times New Roman"/>
          <w:u w:val="single"/>
        </w:rPr>
        <w:t xml:space="preserve">Issue </w:t>
      </w:r>
      <w:r w:rsidR="0013234A">
        <w:rPr>
          <w:rFonts w:ascii="Times New Roman" w:hAnsi="Times New Roman"/>
          <w:u w:val="single"/>
        </w:rPr>
        <w:t>3</w:t>
      </w:r>
      <w:r w:rsidRPr="00D73F4E">
        <w:rPr>
          <w:rFonts w:ascii="Times New Roman" w:hAnsi="Times New Roman"/>
          <w:u w:val="single"/>
        </w:rPr>
        <w:t xml:space="preserve">: </w:t>
      </w:r>
      <w:r>
        <w:rPr>
          <w:rFonts w:ascii="Times New Roman" w:hAnsi="Times New Roman"/>
          <w:u w:val="single"/>
        </w:rPr>
        <w:t>Stationary network broadcast</w:t>
      </w:r>
      <w:r>
        <w:rPr>
          <w:rFonts w:ascii="Times New Roman" w:eastAsia="Times New Roman" w:hAnsi="Times New Roman"/>
          <w:u w:val="single"/>
        </w:rPr>
        <w:t xml:space="preserve"> of “support for attachment of mobile IAB-nodes”</w:t>
      </w:r>
    </w:p>
    <w:p w14:paraId="61A87BE4" w14:textId="66C13230" w:rsidR="00924497" w:rsidRDefault="00924497" w:rsidP="00924497">
      <w:pPr>
        <w:pStyle w:val="Doc-text2"/>
        <w:spacing w:after="120"/>
        <w:ind w:left="0" w:firstLine="0"/>
        <w:rPr>
          <w:rFonts w:ascii="Times New Roman" w:eastAsia="Times New Roman" w:hAnsi="Times New Roman"/>
          <w:u w:val="single"/>
        </w:rPr>
      </w:pPr>
      <w:r w:rsidRPr="006D1466">
        <w:rPr>
          <w:rFonts w:ascii="Times New Roman" w:eastAsia="Times New Roman" w:hAnsi="Times New Roman"/>
        </w:rPr>
        <w:t xml:space="preserve">TSG RAN #97 added the following </w:t>
      </w:r>
      <w:r w:rsidR="002E598B">
        <w:rPr>
          <w:rFonts w:ascii="Times New Roman" w:eastAsia="Times New Roman" w:hAnsi="Times New Roman"/>
        </w:rPr>
        <w:t xml:space="preserve">requirement </w:t>
      </w:r>
      <w:r w:rsidRPr="006D1466">
        <w:rPr>
          <w:rFonts w:ascii="Times New Roman" w:eastAsia="Times New Roman" w:hAnsi="Times New Roman"/>
        </w:rPr>
        <w:t>to the mobile IAB WID</w:t>
      </w:r>
      <w:r w:rsidR="00D0310E">
        <w:rPr>
          <w:rFonts w:ascii="Times New Roman" w:eastAsia="Times New Roman" w:hAnsi="Times New Roman"/>
        </w:rPr>
        <w:t xml:space="preserve"> [2]</w:t>
      </w:r>
      <w:r>
        <w:rPr>
          <w:rFonts w:ascii="Times New Roman" w:eastAsia="Times New Roman" w:hAnsi="Times New Roman"/>
          <w:u w:val="single"/>
        </w:rPr>
        <w:t>:</w:t>
      </w:r>
    </w:p>
    <w:tbl>
      <w:tblPr>
        <w:tblStyle w:val="TableGrid"/>
        <w:tblW w:w="0" w:type="auto"/>
        <w:tblLook w:val="04A0" w:firstRow="1" w:lastRow="0" w:firstColumn="1" w:lastColumn="0" w:noHBand="0" w:noVBand="1"/>
      </w:tblPr>
      <w:tblGrid>
        <w:gridCol w:w="9631"/>
      </w:tblGrid>
      <w:tr w:rsidR="00924497" w14:paraId="7CBB1395" w14:textId="77777777" w:rsidTr="00924497">
        <w:tc>
          <w:tcPr>
            <w:tcW w:w="9631" w:type="dxa"/>
          </w:tcPr>
          <w:p w14:paraId="21029FD9" w14:textId="4617B2F8" w:rsidR="00924497" w:rsidRPr="00924497" w:rsidRDefault="00924497" w:rsidP="006D1466">
            <w:pPr>
              <w:pStyle w:val="maintext"/>
              <w:numPr>
                <w:ilvl w:val="0"/>
                <w:numId w:val="10"/>
              </w:numPr>
              <w:spacing w:line="240" w:lineRule="auto"/>
              <w:ind w:firstLineChars="0"/>
              <w:rPr>
                <w:rFonts w:eastAsia="Times New Roman" w:cs="Times New Roman"/>
                <w:lang w:eastAsia="en-US"/>
              </w:rPr>
            </w:pPr>
            <w:r w:rsidRPr="00D633AB">
              <w:rPr>
                <w:rFonts w:eastAsia="Times New Roman" w:cs="Times New Roman"/>
                <w:lang w:eastAsia="en-US"/>
              </w:rPr>
              <w:t>The mobile IAB</w:t>
            </w:r>
            <w:r>
              <w:rPr>
                <w:rFonts w:eastAsia="Times New Roman" w:cs="Times New Roman"/>
                <w:lang w:eastAsia="en-US"/>
              </w:rPr>
              <w:t>-</w:t>
            </w:r>
            <w:r w:rsidRPr="00D633AB">
              <w:rPr>
                <w:rFonts w:eastAsia="Times New Roman" w:cs="Times New Roman"/>
                <w:lang w:eastAsia="en-US"/>
              </w:rPr>
              <w:t>node can connect to a stationary (intermediate) IAB</w:t>
            </w:r>
            <w:r>
              <w:rPr>
                <w:rFonts w:eastAsia="Times New Roman" w:cs="Times New Roman"/>
                <w:lang w:eastAsia="en-US"/>
              </w:rPr>
              <w:t>-</w:t>
            </w:r>
            <w:r w:rsidRPr="00D633AB">
              <w:rPr>
                <w:rFonts w:eastAsia="Times New Roman" w:cs="Times New Roman"/>
                <w:lang w:eastAsia="en-US"/>
              </w:rPr>
              <w:t>node.</w:t>
            </w:r>
            <w:r w:rsidRPr="002E29BB">
              <w:rPr>
                <w:rFonts w:eastAsia="Times New Roman" w:cs="Times New Roman"/>
                <w:lang w:eastAsia="en-US"/>
              </w:rPr>
              <w:t xml:space="preserve"> Optimizations specific to the scenarios, where the mobile IAB-node connects to a stationary (intermediate) IAB-node, or where it directly connects to a</w:t>
            </w:r>
            <w:r>
              <w:rPr>
                <w:rFonts w:eastAsia="Times New Roman" w:cs="Times New Roman"/>
                <w:lang w:eastAsia="en-US"/>
              </w:rPr>
              <w:t>n IAB-</w:t>
            </w:r>
            <w:r w:rsidRPr="002E29BB">
              <w:rPr>
                <w:rFonts w:eastAsia="Times New Roman" w:cs="Times New Roman"/>
                <w:lang w:eastAsia="en-US"/>
              </w:rPr>
              <w:t>donor-DU are de-prioritized.</w:t>
            </w:r>
          </w:p>
        </w:tc>
      </w:tr>
    </w:tbl>
    <w:p w14:paraId="03EEAD0B" w14:textId="77777777" w:rsidR="00924497" w:rsidRDefault="00924497" w:rsidP="00924497">
      <w:pPr>
        <w:pStyle w:val="Doc-text2"/>
        <w:spacing w:after="120"/>
        <w:ind w:left="0" w:firstLine="0"/>
        <w:rPr>
          <w:rFonts w:ascii="Times New Roman" w:eastAsia="Times New Roman" w:hAnsi="Times New Roman"/>
          <w:u w:val="single"/>
        </w:rPr>
      </w:pPr>
    </w:p>
    <w:p w14:paraId="6D9DF494" w14:textId="4921105E" w:rsidR="00924497" w:rsidRPr="002E598B" w:rsidRDefault="002E598B" w:rsidP="00924497">
      <w:pPr>
        <w:pStyle w:val="Doc-text2"/>
        <w:spacing w:after="120"/>
        <w:ind w:left="0" w:firstLine="0"/>
        <w:rPr>
          <w:rFonts w:ascii="Times New Roman" w:eastAsia="Times New Roman" w:hAnsi="Times New Roman"/>
        </w:rPr>
      </w:pPr>
      <w:r w:rsidRPr="002E598B">
        <w:rPr>
          <w:rFonts w:ascii="Times New Roman" w:eastAsia="Times New Roman" w:hAnsi="Times New Roman"/>
        </w:rPr>
        <w:t xml:space="preserve">This note implies that the mobile IAB-node can connect to any stationary IAB-node that broadcasts the </w:t>
      </w:r>
      <w:r>
        <w:rPr>
          <w:rFonts w:ascii="Times New Roman" w:eastAsia="Times New Roman" w:hAnsi="Times New Roman"/>
        </w:rPr>
        <w:t xml:space="preserve">“IAB-supported” indicator. Introducing an additional indicator for attachment of mobile IAB-nodes to stationary IAB-nodes would violate this </w:t>
      </w:r>
      <w:r w:rsidR="006C1519">
        <w:rPr>
          <w:rFonts w:ascii="Times New Roman" w:eastAsia="Times New Roman" w:hAnsi="Times New Roman"/>
        </w:rPr>
        <w:t xml:space="preserve">WID </w:t>
      </w:r>
      <w:r>
        <w:rPr>
          <w:rFonts w:ascii="Times New Roman" w:eastAsia="Times New Roman" w:hAnsi="Times New Roman"/>
        </w:rPr>
        <w:t xml:space="preserve">requirement. Introducing this indicator only for IAB-donors would represent an optimization for the connection to intermediate nodes vs. IAB-donors, which has </w:t>
      </w:r>
      <w:r w:rsidR="00FD7FDF">
        <w:rPr>
          <w:rFonts w:ascii="Times New Roman" w:eastAsia="Times New Roman" w:hAnsi="Times New Roman"/>
        </w:rPr>
        <w:t xml:space="preserve">also </w:t>
      </w:r>
      <w:r>
        <w:rPr>
          <w:rFonts w:ascii="Times New Roman" w:eastAsia="Times New Roman" w:hAnsi="Times New Roman"/>
        </w:rPr>
        <w:t>been precluded by the WI</w:t>
      </w:r>
      <w:r w:rsidR="00FD7FDF">
        <w:rPr>
          <w:rFonts w:ascii="Times New Roman" w:eastAsia="Times New Roman" w:hAnsi="Times New Roman"/>
        </w:rPr>
        <w:t>D</w:t>
      </w:r>
      <w:r>
        <w:rPr>
          <w:rFonts w:ascii="Times New Roman" w:eastAsia="Times New Roman" w:hAnsi="Times New Roman"/>
        </w:rPr>
        <w:t xml:space="preserve">. </w:t>
      </w:r>
    </w:p>
    <w:p w14:paraId="503402D9" w14:textId="147DC0E4" w:rsidR="002E598B" w:rsidRPr="002E598B" w:rsidRDefault="002E598B" w:rsidP="00924497">
      <w:pPr>
        <w:pStyle w:val="Doc-text2"/>
        <w:spacing w:after="120"/>
        <w:ind w:left="0" w:firstLine="0"/>
        <w:rPr>
          <w:rFonts w:ascii="Times New Roman" w:eastAsia="Times New Roman" w:hAnsi="Times New Roman"/>
          <w:b/>
          <w:bCs/>
        </w:rPr>
      </w:pPr>
      <w:r w:rsidRPr="002E598B">
        <w:rPr>
          <w:rFonts w:ascii="Times New Roman" w:eastAsia="Times New Roman" w:hAnsi="Times New Roman"/>
          <w:b/>
          <w:bCs/>
        </w:rPr>
        <w:t>Observation 2-2: Adding an additional broadcast indicator for attachment of mobile IAB-nodes is in violation with the present WID for mobile IAB.</w:t>
      </w:r>
    </w:p>
    <w:p w14:paraId="163829E1" w14:textId="1F5804B0" w:rsidR="002E598B" w:rsidRPr="002E598B" w:rsidRDefault="002E598B" w:rsidP="00924497">
      <w:pPr>
        <w:pStyle w:val="Doc-text2"/>
        <w:spacing w:after="120"/>
        <w:ind w:left="0" w:firstLine="0"/>
        <w:rPr>
          <w:rFonts w:ascii="Times New Roman" w:eastAsia="Times New Roman" w:hAnsi="Times New Roman"/>
          <w:b/>
          <w:bCs/>
        </w:rPr>
      </w:pPr>
      <w:r w:rsidRPr="002E598B">
        <w:rPr>
          <w:rFonts w:ascii="Times New Roman" w:eastAsia="Times New Roman" w:hAnsi="Times New Roman"/>
          <w:b/>
          <w:bCs/>
        </w:rPr>
        <w:t xml:space="preserve">Proposal 2-1: </w:t>
      </w:r>
      <w:r>
        <w:rPr>
          <w:rFonts w:ascii="Times New Roman" w:eastAsia="Times New Roman" w:hAnsi="Times New Roman"/>
          <w:b/>
          <w:bCs/>
        </w:rPr>
        <w:t xml:space="preserve">Mobile IAB-nodes can attach based on the Rel-16 “IAB-supported” indicator in SIB. </w:t>
      </w:r>
      <w:r w:rsidRPr="002E598B">
        <w:rPr>
          <w:rFonts w:ascii="Times New Roman" w:eastAsia="Times New Roman" w:hAnsi="Times New Roman"/>
          <w:b/>
          <w:bCs/>
        </w:rPr>
        <w:t>The</w:t>
      </w:r>
      <w:r>
        <w:rPr>
          <w:rFonts w:ascii="Times New Roman" w:eastAsia="Times New Roman" w:hAnsi="Times New Roman"/>
          <w:b/>
          <w:bCs/>
        </w:rPr>
        <w:t>re is no additional broadcast indicator for attachment of mobile IAB-nodes.</w:t>
      </w:r>
    </w:p>
    <w:p w14:paraId="6E1FF77F" w14:textId="67C2C070" w:rsidR="002E598B" w:rsidRDefault="002E598B" w:rsidP="00924497">
      <w:pPr>
        <w:pStyle w:val="Doc-text2"/>
        <w:spacing w:after="120"/>
        <w:ind w:left="0" w:firstLine="0"/>
        <w:rPr>
          <w:rFonts w:ascii="Times New Roman" w:eastAsia="Times New Roman" w:hAnsi="Times New Roman"/>
          <w:u w:val="single"/>
        </w:rPr>
      </w:pPr>
    </w:p>
    <w:p w14:paraId="4E95D68F" w14:textId="228AF851" w:rsidR="001A33F0" w:rsidRDefault="001A33F0" w:rsidP="001A33F0">
      <w:pPr>
        <w:pStyle w:val="Heading2"/>
      </w:pPr>
      <w:r>
        <w:t>2.3</w:t>
      </w:r>
      <w:r>
        <w:tab/>
        <w:t>Mobile-IAB indication to the donor</w:t>
      </w:r>
    </w:p>
    <w:p w14:paraId="655510A7" w14:textId="4D2881F4" w:rsidR="001A33F0" w:rsidRDefault="001A33F0" w:rsidP="001A33F0">
      <w:pPr>
        <w:pStyle w:val="Doc-text2"/>
        <w:spacing w:after="120"/>
        <w:ind w:left="0" w:firstLine="0"/>
        <w:rPr>
          <w:rFonts w:ascii="Times New Roman" w:eastAsia="Times New Roman" w:hAnsi="Times New Roman"/>
          <w:u w:val="single"/>
        </w:rPr>
      </w:pPr>
      <w:r w:rsidRPr="00D73F4E">
        <w:rPr>
          <w:rFonts w:ascii="Times New Roman" w:hAnsi="Times New Roman"/>
          <w:u w:val="single"/>
        </w:rPr>
        <w:t xml:space="preserve">Issue </w:t>
      </w:r>
      <w:r w:rsidR="0013234A">
        <w:rPr>
          <w:rFonts w:ascii="Times New Roman" w:hAnsi="Times New Roman"/>
          <w:u w:val="single"/>
        </w:rPr>
        <w:t>4</w:t>
      </w:r>
      <w:r w:rsidRPr="00D73F4E">
        <w:rPr>
          <w:rFonts w:ascii="Times New Roman" w:hAnsi="Times New Roman"/>
          <w:u w:val="single"/>
        </w:rPr>
        <w:t xml:space="preserve">: </w:t>
      </w:r>
      <w:r>
        <w:rPr>
          <w:rFonts w:ascii="Times New Roman" w:hAnsi="Times New Roman"/>
          <w:u w:val="single"/>
        </w:rPr>
        <w:t xml:space="preserve">Whether early indication of mobile-IAB </w:t>
      </w:r>
      <w:r w:rsidR="000D7982">
        <w:rPr>
          <w:rFonts w:ascii="Times New Roman" w:hAnsi="Times New Roman"/>
          <w:u w:val="single"/>
        </w:rPr>
        <w:t xml:space="preserve">via Msg.5 </w:t>
      </w:r>
      <w:r>
        <w:rPr>
          <w:rFonts w:ascii="Times New Roman" w:hAnsi="Times New Roman"/>
          <w:u w:val="single"/>
        </w:rPr>
        <w:t xml:space="preserve">is needed </w:t>
      </w:r>
    </w:p>
    <w:p w14:paraId="3E31A993" w14:textId="756130FC" w:rsidR="001A33F0" w:rsidRDefault="001A33F0" w:rsidP="001A33F0">
      <w:pPr>
        <w:pStyle w:val="Doc-text2"/>
        <w:spacing w:after="120"/>
        <w:ind w:left="0" w:firstLine="0"/>
        <w:rPr>
          <w:rFonts w:ascii="Times New Roman" w:eastAsia="Times New Roman" w:hAnsi="Times New Roman"/>
        </w:rPr>
      </w:pPr>
      <w:r>
        <w:rPr>
          <w:rFonts w:ascii="Times New Roman" w:eastAsia="Times New Roman" w:hAnsi="Times New Roman"/>
        </w:rPr>
        <w:t xml:space="preserve">RAN2 agreed that the mIAB-MT’s mobile-IAB indication can be included in UE capabilities. </w:t>
      </w:r>
      <w:r w:rsidR="00E855F7">
        <w:rPr>
          <w:rFonts w:ascii="Times New Roman" w:eastAsia="Times New Roman" w:hAnsi="Times New Roman"/>
        </w:rPr>
        <w:t>At the present stage, t</w:t>
      </w:r>
      <w:r>
        <w:rPr>
          <w:rFonts w:ascii="Times New Roman" w:eastAsia="Times New Roman" w:hAnsi="Times New Roman"/>
        </w:rPr>
        <w:t xml:space="preserve">here is no need to add an early indication via Msg. 5 since the mobile-IAB indication is not used for </w:t>
      </w:r>
      <w:r w:rsidR="00E855F7">
        <w:rPr>
          <w:rFonts w:ascii="Times New Roman" w:eastAsia="Times New Roman" w:hAnsi="Times New Roman"/>
        </w:rPr>
        <w:t xml:space="preserve">IAB authorization. </w:t>
      </w:r>
    </w:p>
    <w:p w14:paraId="716AEE6B" w14:textId="3D316DAB" w:rsidR="00E855F7" w:rsidRPr="002E598B" w:rsidRDefault="00E855F7" w:rsidP="00E855F7">
      <w:pPr>
        <w:pStyle w:val="Doc-text2"/>
        <w:spacing w:after="120"/>
        <w:ind w:left="0" w:firstLine="0"/>
        <w:rPr>
          <w:rFonts w:ascii="Times New Roman" w:eastAsia="Times New Roman" w:hAnsi="Times New Roman"/>
          <w:b/>
          <w:bCs/>
        </w:rPr>
      </w:pPr>
      <w:r w:rsidRPr="002E598B">
        <w:rPr>
          <w:rFonts w:ascii="Times New Roman" w:eastAsia="Times New Roman" w:hAnsi="Times New Roman"/>
          <w:b/>
          <w:bCs/>
        </w:rPr>
        <w:t xml:space="preserve">Observation </w:t>
      </w:r>
      <w:r>
        <w:rPr>
          <w:rFonts w:ascii="Times New Roman" w:eastAsia="Times New Roman" w:hAnsi="Times New Roman"/>
          <w:b/>
          <w:bCs/>
        </w:rPr>
        <w:t>3</w:t>
      </w:r>
      <w:r w:rsidRPr="002E598B">
        <w:rPr>
          <w:rFonts w:ascii="Times New Roman" w:eastAsia="Times New Roman" w:hAnsi="Times New Roman"/>
          <w:b/>
          <w:bCs/>
        </w:rPr>
        <w:t>-</w:t>
      </w:r>
      <w:r>
        <w:rPr>
          <w:rFonts w:ascii="Times New Roman" w:eastAsia="Times New Roman" w:hAnsi="Times New Roman"/>
          <w:b/>
          <w:bCs/>
        </w:rPr>
        <w:t>1</w:t>
      </w:r>
      <w:r w:rsidRPr="002E598B">
        <w:rPr>
          <w:rFonts w:ascii="Times New Roman" w:eastAsia="Times New Roman" w:hAnsi="Times New Roman"/>
          <w:b/>
          <w:bCs/>
        </w:rPr>
        <w:t xml:space="preserve">: </w:t>
      </w:r>
      <w:r>
        <w:rPr>
          <w:rFonts w:ascii="Times New Roman" w:eastAsia="Times New Roman" w:hAnsi="Times New Roman"/>
          <w:b/>
          <w:bCs/>
        </w:rPr>
        <w:t>At the present stage, there is no need to add an early indication of mobile-IAB via MSG 5</w:t>
      </w:r>
      <w:r w:rsidRPr="002E598B">
        <w:rPr>
          <w:rFonts w:ascii="Times New Roman" w:eastAsia="Times New Roman" w:hAnsi="Times New Roman"/>
          <w:b/>
          <w:bCs/>
        </w:rPr>
        <w:t>.</w:t>
      </w:r>
    </w:p>
    <w:p w14:paraId="3F6D9CF2" w14:textId="06814107" w:rsidR="00E855F7" w:rsidRDefault="00E855F7" w:rsidP="00E855F7">
      <w:pPr>
        <w:pStyle w:val="Doc-text2"/>
        <w:spacing w:after="120"/>
        <w:ind w:left="0" w:firstLine="0"/>
        <w:rPr>
          <w:rFonts w:ascii="Times New Roman" w:eastAsia="Times New Roman" w:hAnsi="Times New Roman"/>
        </w:rPr>
      </w:pPr>
      <w:r w:rsidRPr="002E598B">
        <w:rPr>
          <w:rFonts w:ascii="Times New Roman" w:eastAsia="Times New Roman" w:hAnsi="Times New Roman"/>
          <w:b/>
          <w:bCs/>
        </w:rPr>
        <w:t xml:space="preserve">Proposal </w:t>
      </w:r>
      <w:r>
        <w:rPr>
          <w:rFonts w:ascii="Times New Roman" w:eastAsia="Times New Roman" w:hAnsi="Times New Roman"/>
          <w:b/>
          <w:bCs/>
        </w:rPr>
        <w:t>3</w:t>
      </w:r>
      <w:r w:rsidRPr="002E598B">
        <w:rPr>
          <w:rFonts w:ascii="Times New Roman" w:eastAsia="Times New Roman" w:hAnsi="Times New Roman"/>
          <w:b/>
          <w:bCs/>
        </w:rPr>
        <w:t>-</w:t>
      </w:r>
      <w:r w:rsidR="0059652A">
        <w:rPr>
          <w:rFonts w:ascii="Times New Roman" w:eastAsia="Times New Roman" w:hAnsi="Times New Roman"/>
          <w:b/>
          <w:bCs/>
        </w:rPr>
        <w:t>1</w:t>
      </w:r>
      <w:r w:rsidRPr="002E598B">
        <w:rPr>
          <w:rFonts w:ascii="Times New Roman" w:eastAsia="Times New Roman" w:hAnsi="Times New Roman"/>
          <w:b/>
          <w:bCs/>
        </w:rPr>
        <w:t xml:space="preserve">: </w:t>
      </w:r>
      <w:r>
        <w:rPr>
          <w:rFonts w:ascii="Times New Roman" w:eastAsia="Times New Roman" w:hAnsi="Times New Roman"/>
          <w:b/>
          <w:bCs/>
        </w:rPr>
        <w:t xml:space="preserve">Working assumption: </w:t>
      </w:r>
      <w:r w:rsidR="000F5547">
        <w:rPr>
          <w:rFonts w:ascii="Times New Roman" w:eastAsia="Times New Roman" w:hAnsi="Times New Roman"/>
          <w:b/>
          <w:bCs/>
        </w:rPr>
        <w:t>There is no need to send m</w:t>
      </w:r>
      <w:r>
        <w:rPr>
          <w:rFonts w:ascii="Times New Roman" w:eastAsia="Times New Roman" w:hAnsi="Times New Roman"/>
          <w:b/>
          <w:bCs/>
        </w:rPr>
        <w:t>obile-IAB indicator via Msg. 5.</w:t>
      </w:r>
    </w:p>
    <w:p w14:paraId="62DB6AAC" w14:textId="177D1B5B" w:rsidR="00E855F7" w:rsidRDefault="00E855F7" w:rsidP="001A33F0">
      <w:pPr>
        <w:pStyle w:val="Doc-text2"/>
        <w:spacing w:after="120"/>
        <w:ind w:left="0" w:firstLine="0"/>
        <w:rPr>
          <w:rFonts w:ascii="Times New Roman" w:eastAsia="Times New Roman" w:hAnsi="Times New Roman"/>
        </w:rPr>
      </w:pPr>
    </w:p>
    <w:p w14:paraId="4E86171D" w14:textId="260E5C9D" w:rsidR="000937B0" w:rsidRDefault="000937B0" w:rsidP="000937B0">
      <w:pPr>
        <w:pStyle w:val="Doc-text2"/>
        <w:spacing w:after="120"/>
        <w:ind w:left="0" w:firstLine="0"/>
        <w:rPr>
          <w:rFonts w:ascii="Times New Roman" w:eastAsia="Times New Roman" w:hAnsi="Times New Roman"/>
          <w:u w:val="single"/>
        </w:rPr>
      </w:pPr>
      <w:r w:rsidRPr="00D73F4E">
        <w:rPr>
          <w:rFonts w:ascii="Times New Roman" w:hAnsi="Times New Roman"/>
          <w:u w:val="single"/>
        </w:rPr>
        <w:t xml:space="preserve">Issue </w:t>
      </w:r>
      <w:r w:rsidR="0013234A">
        <w:rPr>
          <w:rFonts w:ascii="Times New Roman" w:hAnsi="Times New Roman"/>
          <w:u w:val="single"/>
        </w:rPr>
        <w:t>5</w:t>
      </w:r>
      <w:r w:rsidRPr="00D73F4E">
        <w:rPr>
          <w:rFonts w:ascii="Times New Roman" w:hAnsi="Times New Roman"/>
          <w:u w:val="single"/>
        </w:rPr>
        <w:t xml:space="preserve">: </w:t>
      </w:r>
      <w:r>
        <w:rPr>
          <w:rFonts w:ascii="Times New Roman" w:hAnsi="Times New Roman"/>
          <w:u w:val="single"/>
        </w:rPr>
        <w:t xml:space="preserve">Whether </w:t>
      </w:r>
      <w:r w:rsidR="00C26782">
        <w:rPr>
          <w:rFonts w:ascii="Times New Roman" w:hAnsi="Times New Roman"/>
          <w:u w:val="single"/>
        </w:rPr>
        <w:t xml:space="preserve">broadcast </w:t>
      </w:r>
      <w:r>
        <w:rPr>
          <w:rFonts w:ascii="Times New Roman" w:hAnsi="Times New Roman"/>
          <w:u w:val="single"/>
        </w:rPr>
        <w:t xml:space="preserve">information on moving status/moving mode </w:t>
      </w:r>
      <w:r w:rsidR="00C26782">
        <w:rPr>
          <w:rFonts w:ascii="Times New Roman" w:hAnsi="Times New Roman"/>
          <w:u w:val="single"/>
        </w:rPr>
        <w:t>is needed</w:t>
      </w:r>
    </w:p>
    <w:p w14:paraId="7D10D856" w14:textId="55D390FB" w:rsidR="00D03911" w:rsidRDefault="00C26782" w:rsidP="000937B0">
      <w:pPr>
        <w:pStyle w:val="Doc-text2"/>
        <w:spacing w:after="120"/>
        <w:ind w:left="0" w:firstLine="0"/>
        <w:rPr>
          <w:rFonts w:ascii="Times New Roman" w:eastAsia="Times New Roman" w:hAnsi="Times New Roman"/>
        </w:rPr>
      </w:pPr>
      <w:r>
        <w:rPr>
          <w:rFonts w:ascii="Times New Roman" w:eastAsia="Times New Roman" w:hAnsi="Times New Roman"/>
        </w:rPr>
        <w:t>Any</w:t>
      </w:r>
      <w:r w:rsidR="000937B0">
        <w:rPr>
          <w:rFonts w:ascii="Times New Roman" w:eastAsia="Times New Roman" w:hAnsi="Times New Roman"/>
        </w:rPr>
        <w:t xml:space="preserve"> information related to the mobile IAB-node</w:t>
      </w:r>
      <w:r>
        <w:rPr>
          <w:rFonts w:ascii="Times New Roman" w:eastAsia="Times New Roman" w:hAnsi="Times New Roman"/>
        </w:rPr>
        <w:t>’</w:t>
      </w:r>
      <w:r w:rsidR="000937B0">
        <w:rPr>
          <w:rFonts w:ascii="Times New Roman" w:eastAsia="Times New Roman" w:hAnsi="Times New Roman"/>
        </w:rPr>
        <w:t>s moving status needs to be rather course to keep SIB updates infrequent.</w:t>
      </w:r>
      <w:r w:rsidR="00D03911">
        <w:rPr>
          <w:rFonts w:ascii="Times New Roman" w:eastAsia="Times New Roman" w:hAnsi="Times New Roman"/>
        </w:rPr>
        <w:t xml:space="preserve"> This obviously reduces the benefit of this information. Further, even if only a few speed classes were introduced, the highly fluctuating nature of vehicular traffic may still lead to frequent SIB updates. Moreover, even if this information was transmitted, it m</w:t>
      </w:r>
      <w:r>
        <w:rPr>
          <w:rFonts w:ascii="Times New Roman" w:eastAsia="Times New Roman" w:hAnsi="Times New Roman"/>
        </w:rPr>
        <w:t>ight</w:t>
      </w:r>
      <w:r w:rsidR="00D03911">
        <w:rPr>
          <w:rFonts w:ascii="Times New Roman" w:eastAsia="Times New Roman" w:hAnsi="Times New Roman"/>
        </w:rPr>
        <w:t xml:space="preserve"> only have limited benefit for the UE since there is no certain mean for the UE to determine if it is onboard of the vehicle holding the IAB-node or simply moving in another vehicle in parallel.</w:t>
      </w:r>
    </w:p>
    <w:p w14:paraId="6DFCC848" w14:textId="0280C96C" w:rsidR="00D03911" w:rsidRPr="002E598B" w:rsidRDefault="00D03911" w:rsidP="00D03911">
      <w:pPr>
        <w:pStyle w:val="Doc-text2"/>
        <w:spacing w:after="120"/>
        <w:ind w:left="0" w:firstLine="0"/>
        <w:rPr>
          <w:rFonts w:ascii="Times New Roman" w:eastAsia="Times New Roman" w:hAnsi="Times New Roman"/>
          <w:b/>
          <w:bCs/>
        </w:rPr>
      </w:pPr>
      <w:r w:rsidRPr="002E598B">
        <w:rPr>
          <w:rFonts w:ascii="Times New Roman" w:eastAsia="Times New Roman" w:hAnsi="Times New Roman"/>
          <w:b/>
          <w:bCs/>
        </w:rPr>
        <w:t xml:space="preserve">Observation </w:t>
      </w:r>
      <w:r>
        <w:rPr>
          <w:rFonts w:ascii="Times New Roman" w:eastAsia="Times New Roman" w:hAnsi="Times New Roman"/>
          <w:b/>
          <w:bCs/>
        </w:rPr>
        <w:t>3</w:t>
      </w:r>
      <w:r w:rsidRPr="002E598B">
        <w:rPr>
          <w:rFonts w:ascii="Times New Roman" w:eastAsia="Times New Roman" w:hAnsi="Times New Roman"/>
          <w:b/>
          <w:bCs/>
        </w:rPr>
        <w:t>-</w:t>
      </w:r>
      <w:r w:rsidR="0059652A">
        <w:rPr>
          <w:rFonts w:ascii="Times New Roman" w:eastAsia="Times New Roman" w:hAnsi="Times New Roman"/>
          <w:b/>
          <w:bCs/>
        </w:rPr>
        <w:t>2</w:t>
      </w:r>
      <w:r w:rsidRPr="002E598B">
        <w:rPr>
          <w:rFonts w:ascii="Times New Roman" w:eastAsia="Times New Roman" w:hAnsi="Times New Roman"/>
          <w:b/>
          <w:bCs/>
        </w:rPr>
        <w:t xml:space="preserve">: </w:t>
      </w:r>
      <w:r>
        <w:rPr>
          <w:rFonts w:ascii="Times New Roman" w:eastAsia="Times New Roman" w:hAnsi="Times New Roman"/>
          <w:b/>
          <w:bCs/>
        </w:rPr>
        <w:t xml:space="preserve">Any additional information on moving status/moving mode broadcast by the </w:t>
      </w:r>
      <w:r w:rsidR="007633DD">
        <w:rPr>
          <w:rFonts w:ascii="Times New Roman" w:eastAsia="Times New Roman" w:hAnsi="Times New Roman"/>
          <w:b/>
          <w:bCs/>
        </w:rPr>
        <w:t>mobile IAB-node has only little benefit for the Rel-18 UE.</w:t>
      </w:r>
    </w:p>
    <w:p w14:paraId="159C5A89" w14:textId="3F9B4F77" w:rsidR="00D03911" w:rsidRDefault="00D03911" w:rsidP="00D03911">
      <w:pPr>
        <w:pStyle w:val="Doc-text2"/>
        <w:spacing w:after="120"/>
        <w:ind w:left="0" w:firstLine="0"/>
        <w:rPr>
          <w:rFonts w:ascii="Times New Roman" w:eastAsia="Times New Roman" w:hAnsi="Times New Roman"/>
        </w:rPr>
      </w:pPr>
      <w:r w:rsidRPr="002E598B">
        <w:rPr>
          <w:rFonts w:ascii="Times New Roman" w:eastAsia="Times New Roman" w:hAnsi="Times New Roman"/>
          <w:b/>
          <w:bCs/>
        </w:rPr>
        <w:t xml:space="preserve">Proposal </w:t>
      </w:r>
      <w:r>
        <w:rPr>
          <w:rFonts w:ascii="Times New Roman" w:eastAsia="Times New Roman" w:hAnsi="Times New Roman"/>
          <w:b/>
          <w:bCs/>
        </w:rPr>
        <w:t>3</w:t>
      </w:r>
      <w:r w:rsidRPr="002E598B">
        <w:rPr>
          <w:rFonts w:ascii="Times New Roman" w:eastAsia="Times New Roman" w:hAnsi="Times New Roman"/>
          <w:b/>
          <w:bCs/>
        </w:rPr>
        <w:t>-</w:t>
      </w:r>
      <w:r w:rsidR="0059652A">
        <w:rPr>
          <w:rFonts w:ascii="Times New Roman" w:eastAsia="Times New Roman" w:hAnsi="Times New Roman"/>
          <w:b/>
          <w:bCs/>
        </w:rPr>
        <w:t>2</w:t>
      </w:r>
      <w:r w:rsidRPr="002E598B">
        <w:rPr>
          <w:rFonts w:ascii="Times New Roman" w:eastAsia="Times New Roman" w:hAnsi="Times New Roman"/>
          <w:b/>
          <w:bCs/>
        </w:rPr>
        <w:t xml:space="preserve">: </w:t>
      </w:r>
      <w:r w:rsidR="007633DD">
        <w:rPr>
          <w:rFonts w:ascii="Times New Roman" w:eastAsia="Times New Roman" w:hAnsi="Times New Roman"/>
          <w:b/>
          <w:bCs/>
        </w:rPr>
        <w:t>The mobile IAB-node to not broadcast any additional information on moving status/moving mode</w:t>
      </w:r>
      <w:r>
        <w:rPr>
          <w:rFonts w:ascii="Times New Roman" w:eastAsia="Times New Roman" w:hAnsi="Times New Roman"/>
          <w:b/>
          <w:bCs/>
        </w:rPr>
        <w:t>.</w:t>
      </w:r>
    </w:p>
    <w:p w14:paraId="08F8A120" w14:textId="77777777" w:rsidR="009556D0" w:rsidRPr="00A25F51" w:rsidRDefault="009556D0" w:rsidP="009556D0">
      <w:pPr>
        <w:rPr>
          <w:b/>
          <w:bCs/>
        </w:rPr>
      </w:pPr>
    </w:p>
    <w:p w14:paraId="4549FE93" w14:textId="51ADEB3F" w:rsidR="009556D0" w:rsidRDefault="009556D0" w:rsidP="009556D0">
      <w:pPr>
        <w:pStyle w:val="Heading2"/>
      </w:pPr>
      <w:r>
        <w:lastRenderedPageBreak/>
        <w:t>2.4</w:t>
      </w:r>
      <w:r>
        <w:tab/>
      </w:r>
      <w:r w:rsidR="000F30BC">
        <w:t>Conditional handover execution</w:t>
      </w:r>
      <w:r>
        <w:t xml:space="preserve"> for group mobility</w:t>
      </w:r>
    </w:p>
    <w:p w14:paraId="00C29ECE" w14:textId="246023DD" w:rsidR="00EA00A8" w:rsidRDefault="00403C9A" w:rsidP="00D16129">
      <w:pPr>
        <w:rPr>
          <w:lang w:val="en-US"/>
        </w:rPr>
      </w:pPr>
      <w:r>
        <w:rPr>
          <w:lang w:val="en-US"/>
        </w:rPr>
        <w:t>The following options are presently considered for group mobility:</w:t>
      </w:r>
    </w:p>
    <w:p w14:paraId="2671BEC4" w14:textId="28908C5C" w:rsidR="00C96B15" w:rsidRDefault="00C96B15" w:rsidP="00C96B15">
      <w:pPr>
        <w:ind w:left="864" w:hanging="864"/>
        <w:rPr>
          <w:lang w:val="en-US"/>
        </w:rPr>
      </w:pPr>
      <w:r w:rsidRPr="000F30BC">
        <w:rPr>
          <w:b/>
          <w:bCs/>
          <w:lang w:val="en-US"/>
        </w:rPr>
        <w:t>Option 1:</w:t>
      </w:r>
      <w:r>
        <w:rPr>
          <w:lang w:val="en-US"/>
        </w:rPr>
        <w:t xml:space="preserve"> </w:t>
      </w:r>
      <w:r w:rsidR="00EA00A8" w:rsidRPr="00C96B15">
        <w:rPr>
          <w:lang w:val="en-US"/>
        </w:rPr>
        <w:t xml:space="preserve">The RRC Reconfiguration messages are sent to the logical source IAB-DU, where they are withheld until </w:t>
      </w:r>
      <w:r w:rsidRPr="00C96B15">
        <w:rPr>
          <w:lang w:val="en-US"/>
        </w:rPr>
        <w:t xml:space="preserve">a condition has been met, e.g., the IAB-MT has received its own handover command.  </w:t>
      </w:r>
    </w:p>
    <w:p w14:paraId="31F7F6CC" w14:textId="59C60F73" w:rsidR="000F30BC" w:rsidRDefault="000F30BC" w:rsidP="000F30BC">
      <w:pPr>
        <w:ind w:left="864" w:hanging="864"/>
        <w:rPr>
          <w:lang w:val="en-US"/>
        </w:rPr>
      </w:pPr>
      <w:r w:rsidRPr="000F30BC">
        <w:rPr>
          <w:b/>
          <w:bCs/>
          <w:lang w:val="en-US"/>
        </w:rPr>
        <w:t xml:space="preserve">Option </w:t>
      </w:r>
      <w:r>
        <w:rPr>
          <w:b/>
          <w:bCs/>
          <w:lang w:val="en-US"/>
        </w:rPr>
        <w:t>2</w:t>
      </w:r>
      <w:r w:rsidRPr="000F30BC">
        <w:rPr>
          <w:b/>
          <w:bCs/>
          <w:lang w:val="en-US"/>
        </w:rPr>
        <w:t>:</w:t>
      </w:r>
      <w:r>
        <w:rPr>
          <w:lang w:val="en-US"/>
        </w:rPr>
        <w:t xml:space="preserve"> </w:t>
      </w:r>
      <w:r w:rsidRPr="00C96B15">
        <w:rPr>
          <w:lang w:val="en-US"/>
        </w:rPr>
        <w:t xml:space="preserve">The RRC Reconfiguration messages are sent to the </w:t>
      </w:r>
      <w:r>
        <w:rPr>
          <w:lang w:val="en-US"/>
        </w:rPr>
        <w:t>UEs</w:t>
      </w:r>
      <w:r w:rsidRPr="00C96B15">
        <w:rPr>
          <w:lang w:val="en-US"/>
        </w:rPr>
        <w:t>, where they are withheld until a condition has been met</w:t>
      </w:r>
      <w:r w:rsidR="00661676">
        <w:rPr>
          <w:lang w:val="en-US"/>
        </w:rPr>
        <w:t xml:space="preserve">, which </w:t>
      </w:r>
      <w:r w:rsidR="001271C1">
        <w:rPr>
          <w:lang w:val="en-US"/>
        </w:rPr>
        <w:t>may be based on a</w:t>
      </w:r>
      <w:r w:rsidR="00661676">
        <w:rPr>
          <w:lang w:val="en-US"/>
        </w:rPr>
        <w:t xml:space="preserve"> broadcast by the </w:t>
      </w:r>
      <w:r>
        <w:rPr>
          <w:lang w:val="en-US"/>
        </w:rPr>
        <w:t>logical source IAB-DU.</w:t>
      </w:r>
      <w:r w:rsidRPr="00C96B15">
        <w:rPr>
          <w:lang w:val="en-US"/>
        </w:rPr>
        <w:t xml:space="preserve"> </w:t>
      </w:r>
    </w:p>
    <w:p w14:paraId="42F0F278" w14:textId="40016DB8" w:rsidR="001271C1" w:rsidRDefault="001271C1" w:rsidP="001271C1">
      <w:pPr>
        <w:ind w:left="864" w:hanging="864"/>
        <w:rPr>
          <w:lang w:val="en-US"/>
        </w:rPr>
      </w:pPr>
      <w:r w:rsidRPr="000F30BC">
        <w:rPr>
          <w:b/>
          <w:bCs/>
          <w:lang w:val="en-US"/>
        </w:rPr>
        <w:t xml:space="preserve">Option </w:t>
      </w:r>
      <w:r>
        <w:rPr>
          <w:b/>
          <w:bCs/>
          <w:lang w:val="en-US"/>
        </w:rPr>
        <w:t>3</w:t>
      </w:r>
      <w:r w:rsidRPr="000F30BC">
        <w:rPr>
          <w:b/>
          <w:bCs/>
          <w:lang w:val="en-US"/>
        </w:rPr>
        <w:t>:</w:t>
      </w:r>
      <w:r>
        <w:rPr>
          <w:lang w:val="en-US"/>
        </w:rPr>
        <w:t xml:space="preserve"> Legacy CHO is configured on the UEs</w:t>
      </w:r>
      <w:r w:rsidR="00190142">
        <w:rPr>
          <w:lang w:val="en-US"/>
        </w:rPr>
        <w:t>,</w:t>
      </w:r>
      <w:r>
        <w:rPr>
          <w:lang w:val="en-US"/>
        </w:rPr>
        <w:t xml:space="preserve"> and the handover</w:t>
      </w:r>
      <w:r w:rsidR="00190142">
        <w:rPr>
          <w:lang w:val="en-US"/>
        </w:rPr>
        <w:t xml:space="preserve"> </w:t>
      </w:r>
      <w:r w:rsidR="0054417F">
        <w:rPr>
          <w:lang w:val="en-US"/>
        </w:rPr>
        <w:t>execution</w:t>
      </w:r>
      <w:r>
        <w:rPr>
          <w:lang w:val="en-US"/>
        </w:rPr>
        <w:t xml:space="preserve"> is triggered by powering down</w:t>
      </w:r>
      <w:r w:rsidR="00403C9A">
        <w:rPr>
          <w:lang w:val="en-US"/>
        </w:rPr>
        <w:t>/up</w:t>
      </w:r>
      <w:r>
        <w:rPr>
          <w:lang w:val="en-US"/>
        </w:rPr>
        <w:t xml:space="preserve"> the source</w:t>
      </w:r>
      <w:r w:rsidR="00403C9A">
        <w:rPr>
          <w:lang w:val="en-US"/>
        </w:rPr>
        <w:t>/target</w:t>
      </w:r>
      <w:r>
        <w:rPr>
          <w:lang w:val="en-US"/>
        </w:rPr>
        <w:t xml:space="preserve"> logical IAB-DU cell</w:t>
      </w:r>
      <w:r w:rsidR="0054417F">
        <w:rPr>
          <w:lang w:val="en-US"/>
        </w:rPr>
        <w:t>s</w:t>
      </w:r>
      <w:r>
        <w:rPr>
          <w:lang w:val="en-US"/>
        </w:rPr>
        <w:t>.</w:t>
      </w:r>
      <w:r w:rsidRPr="00C96B15">
        <w:rPr>
          <w:lang w:val="en-US"/>
        </w:rPr>
        <w:t xml:space="preserve"> </w:t>
      </w:r>
    </w:p>
    <w:p w14:paraId="5076815D" w14:textId="7DDD521C" w:rsidR="00946A16" w:rsidRDefault="00403C9A" w:rsidP="00D16129">
      <w:pPr>
        <w:rPr>
          <w:lang w:val="en-US"/>
        </w:rPr>
      </w:pPr>
      <w:r>
        <w:rPr>
          <w:lang w:val="en-US"/>
        </w:rPr>
        <w:t>RAN2 agreed that Option 1 and Option 3 could work. It is FFS if Option 2 is needed.</w:t>
      </w:r>
    </w:p>
    <w:p w14:paraId="498534C9" w14:textId="77777777" w:rsidR="001223E0" w:rsidRPr="001223E0" w:rsidRDefault="00403C9A" w:rsidP="00D16129">
      <w:pPr>
        <w:rPr>
          <w:b/>
          <w:bCs/>
          <w:lang w:val="en-US"/>
        </w:rPr>
      </w:pPr>
      <w:r w:rsidRPr="001223E0">
        <w:rPr>
          <w:b/>
          <w:bCs/>
          <w:lang w:val="en-US"/>
        </w:rPr>
        <w:t xml:space="preserve">On Option 1: </w:t>
      </w:r>
    </w:p>
    <w:p w14:paraId="11DBCA49" w14:textId="27F283A9" w:rsidR="00403C9A" w:rsidRDefault="0054417F" w:rsidP="001223E0">
      <w:pPr>
        <w:pStyle w:val="ListParagraph"/>
        <w:numPr>
          <w:ilvl w:val="0"/>
          <w:numId w:val="42"/>
        </w:numPr>
        <w:rPr>
          <w:lang w:val="en-US"/>
        </w:rPr>
      </w:pPr>
      <w:r>
        <w:rPr>
          <w:u w:val="single"/>
          <w:lang w:val="en-US"/>
        </w:rPr>
        <w:t>Support of l</w:t>
      </w:r>
      <w:r w:rsidR="001223E0" w:rsidRPr="001223E0">
        <w:rPr>
          <w:u w:val="single"/>
          <w:lang w:val="en-US"/>
        </w:rPr>
        <w:t>egacy UEs:</w:t>
      </w:r>
      <w:r w:rsidR="001223E0">
        <w:rPr>
          <w:lang w:val="en-US"/>
        </w:rPr>
        <w:t xml:space="preserve"> </w:t>
      </w:r>
      <w:r w:rsidR="00403C9A" w:rsidRPr="001223E0">
        <w:rPr>
          <w:lang w:val="en-US"/>
        </w:rPr>
        <w:t>This option can support legacy UEs.</w:t>
      </w:r>
    </w:p>
    <w:p w14:paraId="4E9DAD76" w14:textId="56DF2423" w:rsidR="001223E0" w:rsidRDefault="001223E0" w:rsidP="001223E0">
      <w:pPr>
        <w:pStyle w:val="ListParagraph"/>
        <w:numPr>
          <w:ilvl w:val="0"/>
          <w:numId w:val="42"/>
        </w:numPr>
        <w:rPr>
          <w:lang w:val="en-US"/>
        </w:rPr>
      </w:pPr>
      <w:r w:rsidRPr="001223E0">
        <w:rPr>
          <w:u w:val="single"/>
          <w:lang w:val="en-US"/>
        </w:rPr>
        <w:t>Benefits:</w:t>
      </w:r>
      <w:r>
        <w:rPr>
          <w:lang w:val="en-US"/>
        </w:rPr>
        <w:t xml:space="preserve"> The solution preempts the latency </w:t>
      </w:r>
      <w:r w:rsidR="0054417F">
        <w:rPr>
          <w:lang w:val="en-US"/>
        </w:rPr>
        <w:t>caused by</w:t>
      </w:r>
      <w:r>
        <w:rPr>
          <w:lang w:val="en-US"/>
        </w:rPr>
        <w:t xml:space="preserve"> the transport of the RRC Reconfiguration messages from </w:t>
      </w:r>
      <w:r w:rsidR="0054417F">
        <w:rPr>
          <w:lang w:val="en-US"/>
        </w:rPr>
        <w:t xml:space="preserve">the </w:t>
      </w:r>
      <w:r>
        <w:rPr>
          <w:lang w:val="en-US"/>
        </w:rPr>
        <w:t xml:space="preserve">source CU to </w:t>
      </w:r>
      <w:r w:rsidR="0054417F">
        <w:rPr>
          <w:lang w:val="en-US"/>
        </w:rPr>
        <w:t xml:space="preserve">the </w:t>
      </w:r>
      <w:r>
        <w:rPr>
          <w:lang w:val="en-US"/>
        </w:rPr>
        <w:t>source DU.</w:t>
      </w:r>
    </w:p>
    <w:p w14:paraId="033F606B" w14:textId="49F719B3" w:rsidR="001223E0" w:rsidRDefault="001223E0" w:rsidP="001223E0">
      <w:pPr>
        <w:pStyle w:val="ListParagraph"/>
        <w:numPr>
          <w:ilvl w:val="0"/>
          <w:numId w:val="42"/>
        </w:numPr>
        <w:rPr>
          <w:lang w:val="en-US"/>
        </w:rPr>
      </w:pPr>
      <w:r w:rsidRPr="001223E0">
        <w:rPr>
          <w:u w:val="single"/>
          <w:lang w:val="en-US"/>
        </w:rPr>
        <w:t>Specification effort:</w:t>
      </w:r>
      <w:r>
        <w:rPr>
          <w:lang w:val="en-US"/>
        </w:rPr>
        <w:t xml:space="preserve"> The specification needs to be defined by RAN3. The specification effort, however, is small since RAN3 already specified such a solution for descendent-node reconfiguration during intra-donor migration in Rel-17.</w:t>
      </w:r>
    </w:p>
    <w:p w14:paraId="21D08577" w14:textId="499295F6" w:rsidR="001223E0" w:rsidRPr="001223E0" w:rsidRDefault="001223E0" w:rsidP="001223E0">
      <w:pPr>
        <w:rPr>
          <w:b/>
          <w:bCs/>
          <w:lang w:val="en-US"/>
        </w:rPr>
      </w:pPr>
      <w:r w:rsidRPr="001223E0">
        <w:rPr>
          <w:b/>
          <w:bCs/>
          <w:lang w:val="en-US"/>
        </w:rPr>
        <w:t xml:space="preserve">On Option </w:t>
      </w:r>
      <w:r>
        <w:rPr>
          <w:b/>
          <w:bCs/>
          <w:lang w:val="en-US"/>
        </w:rPr>
        <w:t>2</w:t>
      </w:r>
      <w:r w:rsidRPr="001223E0">
        <w:rPr>
          <w:b/>
          <w:bCs/>
          <w:lang w:val="en-US"/>
        </w:rPr>
        <w:t xml:space="preserve">: </w:t>
      </w:r>
    </w:p>
    <w:p w14:paraId="579CDF66" w14:textId="07EBC4F1" w:rsidR="001223E0" w:rsidRDefault="0054417F" w:rsidP="001223E0">
      <w:pPr>
        <w:pStyle w:val="ListParagraph"/>
        <w:numPr>
          <w:ilvl w:val="0"/>
          <w:numId w:val="42"/>
        </w:numPr>
        <w:rPr>
          <w:lang w:val="en-US"/>
        </w:rPr>
      </w:pPr>
      <w:r>
        <w:rPr>
          <w:u w:val="single"/>
          <w:lang w:val="en-US"/>
        </w:rPr>
        <w:t>Support of l</w:t>
      </w:r>
      <w:r w:rsidRPr="001223E0">
        <w:rPr>
          <w:u w:val="single"/>
          <w:lang w:val="en-US"/>
        </w:rPr>
        <w:t xml:space="preserve">egacy </w:t>
      </w:r>
      <w:r w:rsidR="001223E0" w:rsidRPr="001223E0">
        <w:rPr>
          <w:u w:val="single"/>
          <w:lang w:val="en-US"/>
        </w:rPr>
        <w:t>UEs:</w:t>
      </w:r>
      <w:r w:rsidR="001223E0">
        <w:rPr>
          <w:lang w:val="en-US"/>
        </w:rPr>
        <w:t xml:space="preserve"> </w:t>
      </w:r>
      <w:r w:rsidR="001223E0" w:rsidRPr="001223E0">
        <w:rPr>
          <w:lang w:val="en-US"/>
        </w:rPr>
        <w:t xml:space="preserve">This option </w:t>
      </w:r>
      <w:r w:rsidR="001223E0">
        <w:rPr>
          <w:lang w:val="en-US"/>
        </w:rPr>
        <w:t>only supports Rel-18 UEs</w:t>
      </w:r>
      <w:r w:rsidR="001223E0" w:rsidRPr="001223E0">
        <w:rPr>
          <w:lang w:val="en-US"/>
        </w:rPr>
        <w:t>.</w:t>
      </w:r>
    </w:p>
    <w:p w14:paraId="38333C99" w14:textId="6DA300E1" w:rsidR="001223E0" w:rsidRDefault="001223E0" w:rsidP="001223E0">
      <w:pPr>
        <w:pStyle w:val="ListParagraph"/>
        <w:numPr>
          <w:ilvl w:val="0"/>
          <w:numId w:val="42"/>
        </w:numPr>
        <w:rPr>
          <w:lang w:val="en-US"/>
        </w:rPr>
      </w:pPr>
      <w:r w:rsidRPr="001223E0">
        <w:rPr>
          <w:u w:val="single"/>
          <w:lang w:val="en-US"/>
        </w:rPr>
        <w:t>Benefits:</w:t>
      </w:r>
      <w:r>
        <w:rPr>
          <w:lang w:val="en-US"/>
        </w:rPr>
        <w:t xml:space="preserve"> The solution preempts the latency </w:t>
      </w:r>
      <w:r w:rsidR="0054417F">
        <w:rPr>
          <w:lang w:val="en-US"/>
        </w:rPr>
        <w:t>caused by</w:t>
      </w:r>
      <w:r>
        <w:rPr>
          <w:lang w:val="en-US"/>
        </w:rPr>
        <w:t xml:space="preserve"> the transport of the RRC Reconfiguration messages from </w:t>
      </w:r>
      <w:r w:rsidR="0054417F">
        <w:rPr>
          <w:lang w:val="en-US"/>
        </w:rPr>
        <w:t xml:space="preserve">the </w:t>
      </w:r>
      <w:r>
        <w:rPr>
          <w:lang w:val="en-US"/>
        </w:rPr>
        <w:t>source CU to the UE</w:t>
      </w:r>
      <w:r w:rsidR="0054417F">
        <w:rPr>
          <w:lang w:val="en-US"/>
        </w:rPr>
        <w:t>s</w:t>
      </w:r>
      <w:r>
        <w:rPr>
          <w:lang w:val="en-US"/>
        </w:rPr>
        <w:t>, which is better than Option 1 but the same as Option 3.</w:t>
      </w:r>
    </w:p>
    <w:p w14:paraId="20A88CAE" w14:textId="24CB37CD" w:rsidR="001223E0" w:rsidRDefault="001223E0" w:rsidP="001223E0">
      <w:pPr>
        <w:pStyle w:val="ListParagraph"/>
        <w:numPr>
          <w:ilvl w:val="0"/>
          <w:numId w:val="42"/>
        </w:numPr>
        <w:rPr>
          <w:lang w:val="en-US"/>
        </w:rPr>
      </w:pPr>
      <w:r w:rsidRPr="001223E0">
        <w:rPr>
          <w:u w:val="single"/>
          <w:lang w:val="en-US"/>
        </w:rPr>
        <w:t>Specification effort:</w:t>
      </w:r>
      <w:r>
        <w:rPr>
          <w:lang w:val="en-US"/>
        </w:rPr>
        <w:t xml:space="preserve"> A new broadcast message needs to be introduced, e.g., using DCI.</w:t>
      </w:r>
    </w:p>
    <w:p w14:paraId="68771507" w14:textId="08716599" w:rsidR="001223E0" w:rsidRPr="001223E0" w:rsidRDefault="001223E0" w:rsidP="001223E0">
      <w:pPr>
        <w:rPr>
          <w:b/>
          <w:bCs/>
          <w:lang w:val="en-US"/>
        </w:rPr>
      </w:pPr>
      <w:r w:rsidRPr="001223E0">
        <w:rPr>
          <w:b/>
          <w:bCs/>
          <w:lang w:val="en-US"/>
        </w:rPr>
        <w:t xml:space="preserve">On Option </w:t>
      </w:r>
      <w:r>
        <w:rPr>
          <w:b/>
          <w:bCs/>
          <w:lang w:val="en-US"/>
        </w:rPr>
        <w:t>3</w:t>
      </w:r>
      <w:r w:rsidRPr="001223E0">
        <w:rPr>
          <w:b/>
          <w:bCs/>
          <w:lang w:val="en-US"/>
        </w:rPr>
        <w:t xml:space="preserve">: </w:t>
      </w:r>
    </w:p>
    <w:p w14:paraId="3B6EA1C2" w14:textId="3E6CF18B" w:rsidR="001223E0" w:rsidRDefault="0054417F" w:rsidP="001223E0">
      <w:pPr>
        <w:pStyle w:val="ListParagraph"/>
        <w:numPr>
          <w:ilvl w:val="0"/>
          <w:numId w:val="42"/>
        </w:numPr>
        <w:rPr>
          <w:lang w:val="en-US"/>
        </w:rPr>
      </w:pPr>
      <w:r>
        <w:rPr>
          <w:u w:val="single"/>
          <w:lang w:val="en-US"/>
        </w:rPr>
        <w:t>Support of l</w:t>
      </w:r>
      <w:r w:rsidRPr="001223E0">
        <w:rPr>
          <w:u w:val="single"/>
          <w:lang w:val="en-US"/>
        </w:rPr>
        <w:t xml:space="preserve">egacy </w:t>
      </w:r>
      <w:r w:rsidR="001223E0" w:rsidRPr="001223E0">
        <w:rPr>
          <w:u w:val="single"/>
          <w:lang w:val="en-US"/>
        </w:rPr>
        <w:t>UEs:</w:t>
      </w:r>
      <w:r w:rsidR="001223E0">
        <w:rPr>
          <w:lang w:val="en-US"/>
        </w:rPr>
        <w:t xml:space="preserve"> </w:t>
      </w:r>
      <w:r w:rsidR="001223E0" w:rsidRPr="001223E0">
        <w:rPr>
          <w:lang w:val="en-US"/>
        </w:rPr>
        <w:t xml:space="preserve">This option </w:t>
      </w:r>
      <w:r w:rsidR="001223E0">
        <w:rPr>
          <w:lang w:val="en-US"/>
        </w:rPr>
        <w:t>supports Rel-16/17/18 UEs</w:t>
      </w:r>
      <w:r w:rsidR="001223E0" w:rsidRPr="001223E0">
        <w:rPr>
          <w:lang w:val="en-US"/>
        </w:rPr>
        <w:t>.</w:t>
      </w:r>
    </w:p>
    <w:p w14:paraId="1E405EC1" w14:textId="06F2EC14" w:rsidR="001223E0" w:rsidRDefault="001223E0" w:rsidP="001223E0">
      <w:pPr>
        <w:pStyle w:val="ListParagraph"/>
        <w:numPr>
          <w:ilvl w:val="0"/>
          <w:numId w:val="42"/>
        </w:numPr>
        <w:rPr>
          <w:lang w:val="en-US"/>
        </w:rPr>
      </w:pPr>
      <w:r w:rsidRPr="001223E0">
        <w:rPr>
          <w:u w:val="single"/>
          <w:lang w:val="en-US"/>
        </w:rPr>
        <w:t>Benefits:</w:t>
      </w:r>
      <w:r>
        <w:rPr>
          <w:lang w:val="en-US"/>
        </w:rPr>
        <w:t xml:space="preserve"> The solution preempts the latency </w:t>
      </w:r>
      <w:r w:rsidR="0054417F">
        <w:rPr>
          <w:lang w:val="en-US"/>
        </w:rPr>
        <w:t>caused by</w:t>
      </w:r>
      <w:r>
        <w:rPr>
          <w:lang w:val="en-US"/>
        </w:rPr>
        <w:t xml:space="preserve"> the transport of the RRC Reconfiguration messages from </w:t>
      </w:r>
      <w:r w:rsidR="0054417F">
        <w:rPr>
          <w:lang w:val="en-US"/>
        </w:rPr>
        <w:t xml:space="preserve">the </w:t>
      </w:r>
      <w:r>
        <w:rPr>
          <w:lang w:val="en-US"/>
        </w:rPr>
        <w:t>source CU to the UE</w:t>
      </w:r>
      <w:r w:rsidR="0054417F">
        <w:rPr>
          <w:lang w:val="en-US"/>
        </w:rPr>
        <w:t>s</w:t>
      </w:r>
      <w:r>
        <w:rPr>
          <w:lang w:val="en-US"/>
        </w:rPr>
        <w:t>, which is better than Option 1 and the same as Option 2.</w:t>
      </w:r>
    </w:p>
    <w:p w14:paraId="267FCC56" w14:textId="7F725F7C" w:rsidR="001223E0" w:rsidRDefault="001223E0" w:rsidP="001223E0">
      <w:pPr>
        <w:pStyle w:val="ListParagraph"/>
        <w:numPr>
          <w:ilvl w:val="0"/>
          <w:numId w:val="42"/>
        </w:numPr>
        <w:rPr>
          <w:lang w:val="en-US"/>
        </w:rPr>
      </w:pPr>
      <w:r w:rsidRPr="001223E0">
        <w:rPr>
          <w:u w:val="single"/>
          <w:lang w:val="en-US"/>
        </w:rPr>
        <w:t>Specification effort:</w:t>
      </w:r>
      <w:r>
        <w:rPr>
          <w:lang w:val="en-US"/>
        </w:rPr>
        <w:t xml:space="preserve"> At most stage 2 description is needed.</w:t>
      </w:r>
    </w:p>
    <w:p w14:paraId="639A3D2F" w14:textId="16EBBEFB" w:rsidR="00403C9A" w:rsidRDefault="001223E0" w:rsidP="00D16129">
      <w:pPr>
        <w:rPr>
          <w:lang w:val="en-US"/>
        </w:rPr>
      </w:pPr>
      <w:r>
        <w:rPr>
          <w:lang w:val="en-US"/>
        </w:rPr>
        <w:t>Based on this analysis, the following observations can be made:</w:t>
      </w:r>
    </w:p>
    <w:p w14:paraId="0A32CA6E" w14:textId="77777777" w:rsidR="001223E0" w:rsidRPr="00B40295" w:rsidRDefault="001223E0" w:rsidP="0074662F">
      <w:pPr>
        <w:spacing w:after="60"/>
        <w:contextualSpacing/>
        <w:rPr>
          <w:b/>
          <w:bCs/>
          <w:lang w:val="en-US"/>
        </w:rPr>
      </w:pPr>
      <w:r w:rsidRPr="00B40295">
        <w:rPr>
          <w:b/>
          <w:bCs/>
          <w:lang w:val="en-US"/>
        </w:rPr>
        <w:t>Observation 4-1: The following observations are made about the group-mobility options:</w:t>
      </w:r>
    </w:p>
    <w:p w14:paraId="6D0A6425" w14:textId="777F0F19" w:rsidR="001223E0" w:rsidRPr="00B40295" w:rsidRDefault="001223E0" w:rsidP="0074662F">
      <w:pPr>
        <w:pStyle w:val="ListParagraph"/>
        <w:numPr>
          <w:ilvl w:val="0"/>
          <w:numId w:val="42"/>
        </w:numPr>
        <w:spacing w:after="60"/>
        <w:rPr>
          <w:b/>
          <w:bCs/>
          <w:lang w:val="en-US"/>
        </w:rPr>
      </w:pPr>
      <w:r w:rsidRPr="00B40295">
        <w:rPr>
          <w:b/>
          <w:bCs/>
          <w:lang w:val="en-US"/>
        </w:rPr>
        <w:t xml:space="preserve">Option 1 supports legacy UEs and </w:t>
      </w:r>
      <w:r w:rsidR="00B40295" w:rsidRPr="00B40295">
        <w:rPr>
          <w:b/>
          <w:bCs/>
          <w:lang w:val="en-US"/>
        </w:rPr>
        <w:t>needs only little</w:t>
      </w:r>
      <w:r w:rsidRPr="00B40295">
        <w:rPr>
          <w:b/>
          <w:bCs/>
          <w:lang w:val="en-US"/>
        </w:rPr>
        <w:t xml:space="preserve"> specification</w:t>
      </w:r>
      <w:r w:rsidR="00B40295" w:rsidRPr="00B40295">
        <w:rPr>
          <w:b/>
          <w:bCs/>
          <w:lang w:val="en-US"/>
        </w:rPr>
        <w:t xml:space="preserve"> effort</w:t>
      </w:r>
      <w:r w:rsidRPr="00B40295">
        <w:rPr>
          <w:b/>
          <w:bCs/>
          <w:lang w:val="en-US"/>
        </w:rPr>
        <w:t xml:space="preserve">. </w:t>
      </w:r>
    </w:p>
    <w:p w14:paraId="6CC3C979" w14:textId="6F976CC6" w:rsidR="001223E0" w:rsidRPr="00B40295" w:rsidRDefault="001223E0" w:rsidP="0074662F">
      <w:pPr>
        <w:pStyle w:val="ListParagraph"/>
        <w:numPr>
          <w:ilvl w:val="0"/>
          <w:numId w:val="42"/>
        </w:numPr>
        <w:spacing w:after="60"/>
        <w:rPr>
          <w:b/>
          <w:bCs/>
          <w:lang w:val="en-US"/>
        </w:rPr>
      </w:pPr>
      <w:r w:rsidRPr="00B40295">
        <w:rPr>
          <w:b/>
          <w:bCs/>
          <w:lang w:val="en-US"/>
        </w:rPr>
        <w:t xml:space="preserve">Option 2 </w:t>
      </w:r>
      <w:r w:rsidR="00B40295" w:rsidRPr="00B40295">
        <w:rPr>
          <w:b/>
          <w:bCs/>
          <w:lang w:val="en-US"/>
        </w:rPr>
        <w:t xml:space="preserve">does not support </w:t>
      </w:r>
      <w:r w:rsidRPr="00B40295">
        <w:rPr>
          <w:b/>
          <w:bCs/>
          <w:lang w:val="en-US"/>
        </w:rPr>
        <w:t xml:space="preserve">legacy UEs and needs </w:t>
      </w:r>
      <w:r w:rsidR="0054417F">
        <w:rPr>
          <w:b/>
          <w:bCs/>
          <w:lang w:val="en-US"/>
        </w:rPr>
        <w:t>the most</w:t>
      </w:r>
      <w:r w:rsidRPr="00B40295">
        <w:rPr>
          <w:b/>
          <w:bCs/>
          <w:lang w:val="en-US"/>
        </w:rPr>
        <w:t xml:space="preserve"> specification </w:t>
      </w:r>
      <w:r w:rsidR="00B40295" w:rsidRPr="00B40295">
        <w:rPr>
          <w:b/>
          <w:bCs/>
          <w:lang w:val="en-US"/>
        </w:rPr>
        <w:t>effort</w:t>
      </w:r>
      <w:r w:rsidRPr="00B40295">
        <w:rPr>
          <w:b/>
          <w:bCs/>
          <w:lang w:val="en-US"/>
        </w:rPr>
        <w:t xml:space="preserve">. </w:t>
      </w:r>
    </w:p>
    <w:p w14:paraId="5350951A" w14:textId="4B10FE37" w:rsidR="00B40295" w:rsidRPr="00B40295" w:rsidRDefault="00B40295" w:rsidP="0074662F">
      <w:pPr>
        <w:pStyle w:val="ListParagraph"/>
        <w:numPr>
          <w:ilvl w:val="0"/>
          <w:numId w:val="42"/>
        </w:numPr>
        <w:spacing w:after="60"/>
        <w:rPr>
          <w:b/>
          <w:bCs/>
          <w:lang w:val="en-US"/>
        </w:rPr>
      </w:pPr>
      <w:r w:rsidRPr="00B40295">
        <w:rPr>
          <w:b/>
          <w:bCs/>
          <w:lang w:val="en-US"/>
        </w:rPr>
        <w:t xml:space="preserve">Option 3 supports Rel-16/17/18 UEs and needs at most St2 specification. </w:t>
      </w:r>
    </w:p>
    <w:p w14:paraId="2FD32C20" w14:textId="77777777" w:rsidR="00B40295" w:rsidRPr="00B40295" w:rsidRDefault="00B40295" w:rsidP="00B40295">
      <w:pPr>
        <w:rPr>
          <w:lang w:val="en-US"/>
        </w:rPr>
      </w:pPr>
    </w:p>
    <w:p w14:paraId="7E921714" w14:textId="4650CAC1" w:rsidR="00403C9A" w:rsidRDefault="00B40295" w:rsidP="00D16129">
      <w:pPr>
        <w:rPr>
          <w:lang w:val="en-US"/>
        </w:rPr>
      </w:pPr>
      <w:r>
        <w:rPr>
          <w:lang w:val="en-US"/>
        </w:rPr>
        <w:t>Based on this analysis, the following proposals are made:</w:t>
      </w:r>
    </w:p>
    <w:p w14:paraId="5ED1629C" w14:textId="26687EE3" w:rsidR="00B40295" w:rsidRDefault="00B40295" w:rsidP="00B40295">
      <w:pPr>
        <w:contextualSpacing/>
        <w:rPr>
          <w:b/>
          <w:bCs/>
          <w:lang w:val="en-US"/>
        </w:rPr>
      </w:pPr>
      <w:r>
        <w:rPr>
          <w:b/>
          <w:bCs/>
          <w:lang w:val="en-US"/>
        </w:rPr>
        <w:t xml:space="preserve">Proposal 4-1: </w:t>
      </w:r>
      <w:r w:rsidR="0074662F">
        <w:rPr>
          <w:b/>
          <w:bCs/>
          <w:lang w:val="en-US"/>
        </w:rPr>
        <w:t>Discuss if group mobility option 1 is needed.</w:t>
      </w:r>
    </w:p>
    <w:p w14:paraId="489387E6" w14:textId="77777777" w:rsidR="00B40295" w:rsidRDefault="00B40295" w:rsidP="00B40295">
      <w:pPr>
        <w:contextualSpacing/>
        <w:rPr>
          <w:b/>
          <w:bCs/>
          <w:lang w:val="en-US"/>
        </w:rPr>
      </w:pPr>
    </w:p>
    <w:p w14:paraId="46002609" w14:textId="0DCB3A98" w:rsidR="00FF1498" w:rsidRDefault="00B40295" w:rsidP="00B40295">
      <w:pPr>
        <w:contextualSpacing/>
        <w:rPr>
          <w:b/>
          <w:bCs/>
          <w:lang w:val="en-US"/>
        </w:rPr>
      </w:pPr>
      <w:r>
        <w:rPr>
          <w:b/>
          <w:bCs/>
          <w:lang w:val="en-US"/>
        </w:rPr>
        <w:t>Proposal 4-2: Deprioritize group mobility option 2.</w:t>
      </w:r>
    </w:p>
    <w:p w14:paraId="2C7A7C70" w14:textId="7204AC6D" w:rsidR="00B40295" w:rsidRDefault="00B40295" w:rsidP="00B40295">
      <w:pPr>
        <w:contextualSpacing/>
        <w:rPr>
          <w:b/>
          <w:bCs/>
          <w:lang w:val="en-US"/>
        </w:rPr>
      </w:pPr>
    </w:p>
    <w:p w14:paraId="3857C656" w14:textId="06359112" w:rsidR="00B40295" w:rsidRDefault="00B40295" w:rsidP="00B40295">
      <w:pPr>
        <w:contextualSpacing/>
        <w:rPr>
          <w:b/>
          <w:bCs/>
          <w:lang w:val="en-US"/>
        </w:rPr>
      </w:pPr>
      <w:r>
        <w:rPr>
          <w:b/>
          <w:bCs/>
          <w:lang w:val="en-US"/>
        </w:rPr>
        <w:t xml:space="preserve">Proposal 4-3: Support </w:t>
      </w:r>
      <w:r w:rsidR="0074662F">
        <w:rPr>
          <w:b/>
          <w:bCs/>
          <w:lang w:val="en-US"/>
        </w:rPr>
        <w:t xml:space="preserve">group mobility </w:t>
      </w:r>
      <w:r>
        <w:rPr>
          <w:b/>
          <w:bCs/>
          <w:lang w:val="en-US"/>
        </w:rPr>
        <w:t xml:space="preserve">option 3 and </w:t>
      </w:r>
      <w:r w:rsidR="0074662F">
        <w:rPr>
          <w:b/>
          <w:bCs/>
          <w:lang w:val="en-US"/>
        </w:rPr>
        <w:t>discuss</w:t>
      </w:r>
      <w:r>
        <w:rPr>
          <w:b/>
          <w:bCs/>
          <w:lang w:val="en-US"/>
        </w:rPr>
        <w:t xml:space="preserve"> if stage-2 description is needed.</w:t>
      </w:r>
    </w:p>
    <w:p w14:paraId="0D23C995" w14:textId="77777777" w:rsidR="00DB4248" w:rsidRPr="000F30BC" w:rsidRDefault="00DB4248" w:rsidP="00713634">
      <w:pPr>
        <w:rPr>
          <w:b/>
          <w:bCs/>
          <w:lang w:val="en-US"/>
        </w:rPr>
      </w:pPr>
    </w:p>
    <w:p w14:paraId="23DA704C" w14:textId="4D63F106" w:rsidR="0096408F" w:rsidRDefault="0096408F" w:rsidP="0096408F">
      <w:pPr>
        <w:pStyle w:val="Heading1"/>
      </w:pPr>
      <w:r>
        <w:t>Conclusion</w:t>
      </w:r>
    </w:p>
    <w:p w14:paraId="250BD53F" w14:textId="4F5E97D4" w:rsidR="0096408F" w:rsidRDefault="00561CD2" w:rsidP="001D15C1">
      <w:pPr>
        <w:spacing w:after="120"/>
      </w:pPr>
      <w:r>
        <w:t xml:space="preserve">This contribution discussed </w:t>
      </w:r>
      <w:r w:rsidR="0054417F">
        <w:t>topic related to the mobility of the IAB-node and its UEs</w:t>
      </w:r>
      <w:r w:rsidR="00C01E8E">
        <w:t xml:space="preserve">. </w:t>
      </w:r>
      <w:r w:rsidR="005A73AD">
        <w:t xml:space="preserve">The following </w:t>
      </w:r>
      <w:r w:rsidR="00C01E8E">
        <w:t xml:space="preserve">observations and </w:t>
      </w:r>
      <w:r w:rsidR="005A73AD">
        <w:t>proposals have been made:</w:t>
      </w:r>
    </w:p>
    <w:p w14:paraId="20063DE2" w14:textId="77777777" w:rsidR="001D15C1" w:rsidRPr="00D73F4E" w:rsidRDefault="001D15C1" w:rsidP="001D15C1">
      <w:pPr>
        <w:pStyle w:val="Doc-text2"/>
        <w:spacing w:after="120"/>
        <w:ind w:left="0" w:firstLine="0"/>
        <w:rPr>
          <w:rFonts w:ascii="Times New Roman" w:eastAsia="Times New Roman" w:hAnsi="Times New Roman"/>
          <w:b/>
          <w:bCs/>
        </w:rPr>
      </w:pPr>
      <w:r w:rsidRPr="00D73F4E">
        <w:rPr>
          <w:rFonts w:ascii="Times New Roman" w:eastAsia="Times New Roman" w:hAnsi="Times New Roman"/>
          <w:b/>
          <w:bCs/>
        </w:rPr>
        <w:t>Proposal 1-1: Usage of mobile-cell-type indication by Rel-18 UEs to be left up to implementation.</w:t>
      </w:r>
    </w:p>
    <w:p w14:paraId="2A80D208" w14:textId="77777777" w:rsidR="001D15C1" w:rsidRPr="00D73F4E" w:rsidRDefault="001D15C1" w:rsidP="001D15C1">
      <w:pPr>
        <w:pStyle w:val="Doc-text2"/>
        <w:spacing w:after="120"/>
        <w:ind w:left="0" w:firstLine="0"/>
        <w:rPr>
          <w:rFonts w:ascii="Times New Roman" w:eastAsia="Times New Roman" w:hAnsi="Times New Roman"/>
          <w:u w:val="single"/>
        </w:rPr>
      </w:pPr>
    </w:p>
    <w:p w14:paraId="7CBE8FF4" w14:textId="77777777" w:rsidR="001D15C1" w:rsidRDefault="001D15C1" w:rsidP="001D15C1">
      <w:pPr>
        <w:pStyle w:val="Doc-text2"/>
        <w:spacing w:after="120"/>
        <w:ind w:left="0" w:firstLine="0"/>
        <w:rPr>
          <w:rFonts w:ascii="Times New Roman" w:eastAsia="Times New Roman" w:hAnsi="Times New Roman"/>
          <w:b/>
          <w:bCs/>
        </w:rPr>
      </w:pPr>
      <w:r>
        <w:rPr>
          <w:rFonts w:ascii="Times New Roman" w:eastAsia="Times New Roman" w:hAnsi="Times New Roman"/>
          <w:b/>
          <w:bCs/>
        </w:rPr>
        <w:lastRenderedPageBreak/>
        <w:t>Observation 1-1: The mobile-cell-type indicator can be contained in SIB1 since 1) it only uses 1bit, and 2) it can be OAM-configured as it is static in nature and need not be reconfigured by the CU.</w:t>
      </w:r>
    </w:p>
    <w:p w14:paraId="35A58006" w14:textId="77777777" w:rsidR="001D15C1" w:rsidRPr="00D73F4E" w:rsidRDefault="001D15C1" w:rsidP="001D15C1">
      <w:pPr>
        <w:pStyle w:val="Doc-text2"/>
        <w:spacing w:after="120"/>
        <w:ind w:left="0" w:firstLine="0"/>
        <w:rPr>
          <w:rFonts w:ascii="Times New Roman" w:eastAsia="Times New Roman" w:hAnsi="Times New Roman"/>
          <w:b/>
          <w:bCs/>
        </w:rPr>
      </w:pPr>
      <w:r w:rsidRPr="00D73F4E">
        <w:rPr>
          <w:rFonts w:ascii="Times New Roman" w:eastAsia="Times New Roman" w:hAnsi="Times New Roman"/>
          <w:b/>
          <w:bCs/>
        </w:rPr>
        <w:t>Proposal 1-</w:t>
      </w:r>
      <w:r>
        <w:rPr>
          <w:rFonts w:ascii="Times New Roman" w:eastAsia="Times New Roman" w:hAnsi="Times New Roman"/>
          <w:b/>
          <w:bCs/>
        </w:rPr>
        <w:t>2</w:t>
      </w:r>
      <w:r w:rsidRPr="00D73F4E">
        <w:rPr>
          <w:rFonts w:ascii="Times New Roman" w:eastAsia="Times New Roman" w:hAnsi="Times New Roman"/>
          <w:b/>
          <w:bCs/>
        </w:rPr>
        <w:t xml:space="preserve">: </w:t>
      </w:r>
      <w:r>
        <w:rPr>
          <w:rFonts w:ascii="Times New Roman" w:eastAsia="Times New Roman" w:hAnsi="Times New Roman"/>
          <w:b/>
          <w:bCs/>
        </w:rPr>
        <w:t>Mobile-cell-type indicator to be included into SIB1</w:t>
      </w:r>
      <w:r w:rsidRPr="00D73F4E">
        <w:rPr>
          <w:rFonts w:ascii="Times New Roman" w:eastAsia="Times New Roman" w:hAnsi="Times New Roman"/>
          <w:b/>
          <w:bCs/>
        </w:rPr>
        <w:t>.</w:t>
      </w:r>
    </w:p>
    <w:p w14:paraId="1602390B" w14:textId="543D947A" w:rsidR="00591100" w:rsidRDefault="00591100" w:rsidP="001D15C1">
      <w:pPr>
        <w:spacing w:after="120"/>
      </w:pPr>
    </w:p>
    <w:p w14:paraId="1CDA4FBF" w14:textId="77777777" w:rsidR="001D15C1" w:rsidRPr="002E598B" w:rsidRDefault="001D15C1" w:rsidP="001D15C1">
      <w:pPr>
        <w:pStyle w:val="Doc-text2"/>
        <w:spacing w:after="120"/>
        <w:ind w:left="0" w:firstLine="0"/>
        <w:rPr>
          <w:rFonts w:ascii="Times New Roman" w:eastAsia="Times New Roman" w:hAnsi="Times New Roman"/>
          <w:b/>
          <w:bCs/>
        </w:rPr>
      </w:pPr>
      <w:r w:rsidRPr="002E598B">
        <w:rPr>
          <w:rFonts w:ascii="Times New Roman" w:eastAsia="Times New Roman" w:hAnsi="Times New Roman"/>
          <w:b/>
          <w:bCs/>
        </w:rPr>
        <w:t>Observation 2-2: Adding an additional broadcast indicator for attachment of mobile IAB-nodes is in violation with the present WID for mobile IAB.</w:t>
      </w:r>
    </w:p>
    <w:p w14:paraId="7E322075" w14:textId="77777777" w:rsidR="001D15C1" w:rsidRPr="002E598B" w:rsidRDefault="001D15C1" w:rsidP="001D15C1">
      <w:pPr>
        <w:pStyle w:val="Doc-text2"/>
        <w:spacing w:after="120"/>
        <w:ind w:left="0" w:firstLine="0"/>
        <w:rPr>
          <w:rFonts w:ascii="Times New Roman" w:eastAsia="Times New Roman" w:hAnsi="Times New Roman"/>
          <w:b/>
          <w:bCs/>
        </w:rPr>
      </w:pPr>
      <w:r w:rsidRPr="002E598B">
        <w:rPr>
          <w:rFonts w:ascii="Times New Roman" w:eastAsia="Times New Roman" w:hAnsi="Times New Roman"/>
          <w:b/>
          <w:bCs/>
        </w:rPr>
        <w:t xml:space="preserve">Proposal 2-1: </w:t>
      </w:r>
      <w:r>
        <w:rPr>
          <w:rFonts w:ascii="Times New Roman" w:eastAsia="Times New Roman" w:hAnsi="Times New Roman"/>
          <w:b/>
          <w:bCs/>
        </w:rPr>
        <w:t xml:space="preserve">Mobile IAB-nodes can attach based on the Rel-16 “IAB-supported” indicator in SIB. </w:t>
      </w:r>
      <w:r w:rsidRPr="002E598B">
        <w:rPr>
          <w:rFonts w:ascii="Times New Roman" w:eastAsia="Times New Roman" w:hAnsi="Times New Roman"/>
          <w:b/>
          <w:bCs/>
        </w:rPr>
        <w:t>The</w:t>
      </w:r>
      <w:r>
        <w:rPr>
          <w:rFonts w:ascii="Times New Roman" w:eastAsia="Times New Roman" w:hAnsi="Times New Roman"/>
          <w:b/>
          <w:bCs/>
        </w:rPr>
        <w:t>re is no additional broadcast indicator for attachment of mobile IAB-nodes.</w:t>
      </w:r>
    </w:p>
    <w:p w14:paraId="35AC5E32" w14:textId="77777777" w:rsidR="001D15C1" w:rsidRDefault="001D15C1" w:rsidP="001D15C1">
      <w:pPr>
        <w:pStyle w:val="Doc-text2"/>
        <w:spacing w:after="120"/>
        <w:ind w:left="0" w:firstLine="0"/>
        <w:rPr>
          <w:rFonts w:ascii="Times New Roman" w:eastAsia="Times New Roman" w:hAnsi="Times New Roman"/>
          <w:b/>
          <w:bCs/>
        </w:rPr>
      </w:pPr>
    </w:p>
    <w:p w14:paraId="113236BF" w14:textId="783F765A" w:rsidR="001D15C1" w:rsidRPr="002E598B" w:rsidRDefault="001D15C1" w:rsidP="001D15C1">
      <w:pPr>
        <w:pStyle w:val="Doc-text2"/>
        <w:spacing w:after="120"/>
        <w:ind w:left="0" w:firstLine="0"/>
        <w:rPr>
          <w:rFonts w:ascii="Times New Roman" w:eastAsia="Times New Roman" w:hAnsi="Times New Roman"/>
          <w:b/>
          <w:bCs/>
        </w:rPr>
      </w:pPr>
      <w:r w:rsidRPr="002E598B">
        <w:rPr>
          <w:rFonts w:ascii="Times New Roman" w:eastAsia="Times New Roman" w:hAnsi="Times New Roman"/>
          <w:b/>
          <w:bCs/>
        </w:rPr>
        <w:t xml:space="preserve">Observation </w:t>
      </w:r>
      <w:r>
        <w:rPr>
          <w:rFonts w:ascii="Times New Roman" w:eastAsia="Times New Roman" w:hAnsi="Times New Roman"/>
          <w:b/>
          <w:bCs/>
        </w:rPr>
        <w:t>3</w:t>
      </w:r>
      <w:r w:rsidRPr="002E598B">
        <w:rPr>
          <w:rFonts w:ascii="Times New Roman" w:eastAsia="Times New Roman" w:hAnsi="Times New Roman"/>
          <w:b/>
          <w:bCs/>
        </w:rPr>
        <w:t>-</w:t>
      </w:r>
      <w:r>
        <w:rPr>
          <w:rFonts w:ascii="Times New Roman" w:eastAsia="Times New Roman" w:hAnsi="Times New Roman"/>
          <w:b/>
          <w:bCs/>
        </w:rPr>
        <w:t>1</w:t>
      </w:r>
      <w:r w:rsidRPr="002E598B">
        <w:rPr>
          <w:rFonts w:ascii="Times New Roman" w:eastAsia="Times New Roman" w:hAnsi="Times New Roman"/>
          <w:b/>
          <w:bCs/>
        </w:rPr>
        <w:t xml:space="preserve">: </w:t>
      </w:r>
      <w:r>
        <w:rPr>
          <w:rFonts w:ascii="Times New Roman" w:eastAsia="Times New Roman" w:hAnsi="Times New Roman"/>
          <w:b/>
          <w:bCs/>
        </w:rPr>
        <w:t>At the present stage, there is no need to add an early indication of mobile-IAB via MSG 5</w:t>
      </w:r>
      <w:r w:rsidRPr="002E598B">
        <w:rPr>
          <w:rFonts w:ascii="Times New Roman" w:eastAsia="Times New Roman" w:hAnsi="Times New Roman"/>
          <w:b/>
          <w:bCs/>
        </w:rPr>
        <w:t>.</w:t>
      </w:r>
    </w:p>
    <w:p w14:paraId="4E6AED0A" w14:textId="77777777" w:rsidR="001D15C1" w:rsidRDefault="001D15C1" w:rsidP="001D15C1">
      <w:pPr>
        <w:pStyle w:val="Doc-text2"/>
        <w:spacing w:after="120"/>
        <w:ind w:left="0" w:firstLine="0"/>
        <w:rPr>
          <w:rFonts w:ascii="Times New Roman" w:eastAsia="Times New Roman" w:hAnsi="Times New Roman"/>
        </w:rPr>
      </w:pPr>
      <w:r w:rsidRPr="002E598B">
        <w:rPr>
          <w:rFonts w:ascii="Times New Roman" w:eastAsia="Times New Roman" w:hAnsi="Times New Roman"/>
          <w:b/>
          <w:bCs/>
        </w:rPr>
        <w:t xml:space="preserve">Proposal </w:t>
      </w:r>
      <w:r>
        <w:rPr>
          <w:rFonts w:ascii="Times New Roman" w:eastAsia="Times New Roman" w:hAnsi="Times New Roman"/>
          <w:b/>
          <w:bCs/>
        </w:rPr>
        <w:t>3</w:t>
      </w:r>
      <w:r w:rsidRPr="002E598B">
        <w:rPr>
          <w:rFonts w:ascii="Times New Roman" w:eastAsia="Times New Roman" w:hAnsi="Times New Roman"/>
          <w:b/>
          <w:bCs/>
        </w:rPr>
        <w:t>-</w:t>
      </w:r>
      <w:r>
        <w:rPr>
          <w:rFonts w:ascii="Times New Roman" w:eastAsia="Times New Roman" w:hAnsi="Times New Roman"/>
          <w:b/>
          <w:bCs/>
        </w:rPr>
        <w:t>1</w:t>
      </w:r>
      <w:r w:rsidRPr="002E598B">
        <w:rPr>
          <w:rFonts w:ascii="Times New Roman" w:eastAsia="Times New Roman" w:hAnsi="Times New Roman"/>
          <w:b/>
          <w:bCs/>
        </w:rPr>
        <w:t xml:space="preserve">: </w:t>
      </w:r>
      <w:r>
        <w:rPr>
          <w:rFonts w:ascii="Times New Roman" w:eastAsia="Times New Roman" w:hAnsi="Times New Roman"/>
          <w:b/>
          <w:bCs/>
        </w:rPr>
        <w:t>Working assumption: There is no need to send mobile-IAB indicator via Msg. 5.</w:t>
      </w:r>
    </w:p>
    <w:p w14:paraId="7714868D" w14:textId="77777777" w:rsidR="001D15C1" w:rsidRDefault="001D15C1" w:rsidP="001D15C1">
      <w:pPr>
        <w:pStyle w:val="Doc-text2"/>
        <w:spacing w:after="120"/>
        <w:ind w:left="0" w:firstLine="0"/>
        <w:rPr>
          <w:rFonts w:ascii="Times New Roman" w:eastAsia="Times New Roman" w:hAnsi="Times New Roman"/>
        </w:rPr>
      </w:pPr>
    </w:p>
    <w:p w14:paraId="1CA6B60C" w14:textId="77777777" w:rsidR="001D15C1" w:rsidRPr="002E598B" w:rsidRDefault="001D15C1" w:rsidP="001D15C1">
      <w:pPr>
        <w:pStyle w:val="Doc-text2"/>
        <w:spacing w:after="120"/>
        <w:ind w:left="0" w:firstLine="0"/>
        <w:rPr>
          <w:rFonts w:ascii="Times New Roman" w:eastAsia="Times New Roman" w:hAnsi="Times New Roman"/>
          <w:b/>
          <w:bCs/>
        </w:rPr>
      </w:pPr>
      <w:r w:rsidRPr="002E598B">
        <w:rPr>
          <w:rFonts w:ascii="Times New Roman" w:eastAsia="Times New Roman" w:hAnsi="Times New Roman"/>
          <w:b/>
          <w:bCs/>
        </w:rPr>
        <w:t xml:space="preserve">Observation </w:t>
      </w:r>
      <w:r>
        <w:rPr>
          <w:rFonts w:ascii="Times New Roman" w:eastAsia="Times New Roman" w:hAnsi="Times New Roman"/>
          <w:b/>
          <w:bCs/>
        </w:rPr>
        <w:t>3</w:t>
      </w:r>
      <w:r w:rsidRPr="002E598B">
        <w:rPr>
          <w:rFonts w:ascii="Times New Roman" w:eastAsia="Times New Roman" w:hAnsi="Times New Roman"/>
          <w:b/>
          <w:bCs/>
        </w:rPr>
        <w:t>-</w:t>
      </w:r>
      <w:r>
        <w:rPr>
          <w:rFonts w:ascii="Times New Roman" w:eastAsia="Times New Roman" w:hAnsi="Times New Roman"/>
          <w:b/>
          <w:bCs/>
        </w:rPr>
        <w:t>2</w:t>
      </w:r>
      <w:r w:rsidRPr="002E598B">
        <w:rPr>
          <w:rFonts w:ascii="Times New Roman" w:eastAsia="Times New Roman" w:hAnsi="Times New Roman"/>
          <w:b/>
          <w:bCs/>
        </w:rPr>
        <w:t xml:space="preserve">: </w:t>
      </w:r>
      <w:r>
        <w:rPr>
          <w:rFonts w:ascii="Times New Roman" w:eastAsia="Times New Roman" w:hAnsi="Times New Roman"/>
          <w:b/>
          <w:bCs/>
        </w:rPr>
        <w:t>Any additional information on moving status/moving mode broadcast by the mobile IAB-node has only little benefit for the Rel-18 UE.</w:t>
      </w:r>
    </w:p>
    <w:p w14:paraId="42A2BD28" w14:textId="77777777" w:rsidR="001D15C1" w:rsidRDefault="001D15C1" w:rsidP="001D15C1">
      <w:pPr>
        <w:pStyle w:val="Doc-text2"/>
        <w:spacing w:after="120"/>
        <w:ind w:left="0" w:firstLine="0"/>
        <w:rPr>
          <w:rFonts w:ascii="Times New Roman" w:eastAsia="Times New Roman" w:hAnsi="Times New Roman"/>
        </w:rPr>
      </w:pPr>
      <w:r w:rsidRPr="002E598B">
        <w:rPr>
          <w:rFonts w:ascii="Times New Roman" w:eastAsia="Times New Roman" w:hAnsi="Times New Roman"/>
          <w:b/>
          <w:bCs/>
        </w:rPr>
        <w:t xml:space="preserve">Proposal </w:t>
      </w:r>
      <w:r>
        <w:rPr>
          <w:rFonts w:ascii="Times New Roman" w:eastAsia="Times New Roman" w:hAnsi="Times New Roman"/>
          <w:b/>
          <w:bCs/>
        </w:rPr>
        <w:t>3</w:t>
      </w:r>
      <w:r w:rsidRPr="002E598B">
        <w:rPr>
          <w:rFonts w:ascii="Times New Roman" w:eastAsia="Times New Roman" w:hAnsi="Times New Roman"/>
          <w:b/>
          <w:bCs/>
        </w:rPr>
        <w:t>-</w:t>
      </w:r>
      <w:r>
        <w:rPr>
          <w:rFonts w:ascii="Times New Roman" w:eastAsia="Times New Roman" w:hAnsi="Times New Roman"/>
          <w:b/>
          <w:bCs/>
        </w:rPr>
        <w:t>2</w:t>
      </w:r>
      <w:r w:rsidRPr="002E598B">
        <w:rPr>
          <w:rFonts w:ascii="Times New Roman" w:eastAsia="Times New Roman" w:hAnsi="Times New Roman"/>
          <w:b/>
          <w:bCs/>
        </w:rPr>
        <w:t xml:space="preserve">: </w:t>
      </w:r>
      <w:r>
        <w:rPr>
          <w:rFonts w:ascii="Times New Roman" w:eastAsia="Times New Roman" w:hAnsi="Times New Roman"/>
          <w:b/>
          <w:bCs/>
        </w:rPr>
        <w:t>The mobile IAB-node to not broadcast any additional information on moving status/moving mode.</w:t>
      </w:r>
    </w:p>
    <w:p w14:paraId="13BF6216" w14:textId="77777777" w:rsidR="001D15C1" w:rsidRDefault="001D15C1" w:rsidP="001D15C1">
      <w:pPr>
        <w:spacing w:after="120"/>
        <w:rPr>
          <w:b/>
          <w:bCs/>
          <w:lang w:val="en-US"/>
        </w:rPr>
      </w:pPr>
    </w:p>
    <w:p w14:paraId="0F541DC8" w14:textId="5C0DAD54" w:rsidR="001D15C1" w:rsidRPr="00B40295" w:rsidRDefault="001D15C1" w:rsidP="001D15C1">
      <w:pPr>
        <w:spacing w:after="120"/>
        <w:rPr>
          <w:b/>
          <w:bCs/>
          <w:lang w:val="en-US"/>
        </w:rPr>
      </w:pPr>
      <w:r w:rsidRPr="00B40295">
        <w:rPr>
          <w:b/>
          <w:bCs/>
          <w:lang w:val="en-US"/>
        </w:rPr>
        <w:t>Observation 4-1: The following observations are made about the group-mobility options:</w:t>
      </w:r>
    </w:p>
    <w:p w14:paraId="29074B50" w14:textId="77777777" w:rsidR="001D15C1" w:rsidRPr="00B40295" w:rsidRDefault="001D15C1" w:rsidP="001D15C1">
      <w:pPr>
        <w:pStyle w:val="ListParagraph"/>
        <w:numPr>
          <w:ilvl w:val="0"/>
          <w:numId w:val="42"/>
        </w:numPr>
        <w:spacing w:after="120"/>
        <w:contextualSpacing w:val="0"/>
        <w:rPr>
          <w:b/>
          <w:bCs/>
          <w:lang w:val="en-US"/>
        </w:rPr>
      </w:pPr>
      <w:r w:rsidRPr="00B40295">
        <w:rPr>
          <w:b/>
          <w:bCs/>
          <w:lang w:val="en-US"/>
        </w:rPr>
        <w:t xml:space="preserve">Option 1 supports legacy UEs and needs only little specification effort. </w:t>
      </w:r>
    </w:p>
    <w:p w14:paraId="17E104BF" w14:textId="77777777" w:rsidR="001D15C1" w:rsidRPr="00B40295" w:rsidRDefault="001D15C1" w:rsidP="001D15C1">
      <w:pPr>
        <w:pStyle w:val="ListParagraph"/>
        <w:numPr>
          <w:ilvl w:val="0"/>
          <w:numId w:val="42"/>
        </w:numPr>
        <w:spacing w:after="120"/>
        <w:contextualSpacing w:val="0"/>
        <w:rPr>
          <w:b/>
          <w:bCs/>
          <w:lang w:val="en-US"/>
        </w:rPr>
      </w:pPr>
      <w:r w:rsidRPr="00B40295">
        <w:rPr>
          <w:b/>
          <w:bCs/>
          <w:lang w:val="en-US"/>
        </w:rPr>
        <w:t xml:space="preserve">Option 2 does not support legacy UEs and needs </w:t>
      </w:r>
      <w:r>
        <w:rPr>
          <w:b/>
          <w:bCs/>
          <w:lang w:val="en-US"/>
        </w:rPr>
        <w:t>the most</w:t>
      </w:r>
      <w:r w:rsidRPr="00B40295">
        <w:rPr>
          <w:b/>
          <w:bCs/>
          <w:lang w:val="en-US"/>
        </w:rPr>
        <w:t xml:space="preserve"> specification effort. </w:t>
      </w:r>
    </w:p>
    <w:p w14:paraId="2E7FCE35" w14:textId="77777777" w:rsidR="001D15C1" w:rsidRPr="00B40295" w:rsidRDefault="001D15C1" w:rsidP="001D15C1">
      <w:pPr>
        <w:pStyle w:val="ListParagraph"/>
        <w:numPr>
          <w:ilvl w:val="0"/>
          <w:numId w:val="42"/>
        </w:numPr>
        <w:spacing w:after="120"/>
        <w:contextualSpacing w:val="0"/>
        <w:rPr>
          <w:b/>
          <w:bCs/>
          <w:lang w:val="en-US"/>
        </w:rPr>
      </w:pPr>
      <w:r w:rsidRPr="00B40295">
        <w:rPr>
          <w:b/>
          <w:bCs/>
          <w:lang w:val="en-US"/>
        </w:rPr>
        <w:t xml:space="preserve">Option 3 supports Rel-16/17/18 UEs and needs at most St2 specification. </w:t>
      </w:r>
    </w:p>
    <w:p w14:paraId="196679DE" w14:textId="77777777" w:rsidR="001D15C1" w:rsidRDefault="001D15C1" w:rsidP="001D15C1">
      <w:pPr>
        <w:spacing w:after="120"/>
        <w:rPr>
          <w:b/>
          <w:bCs/>
          <w:lang w:val="en-US"/>
        </w:rPr>
      </w:pPr>
      <w:r>
        <w:rPr>
          <w:b/>
          <w:bCs/>
          <w:lang w:val="en-US"/>
        </w:rPr>
        <w:t>Proposal 4-1: Discuss if group mobility option 1 is needed.</w:t>
      </w:r>
    </w:p>
    <w:p w14:paraId="0B5DE629" w14:textId="77777777" w:rsidR="001D15C1" w:rsidRDefault="001D15C1" w:rsidP="001D15C1">
      <w:pPr>
        <w:spacing w:after="120"/>
        <w:rPr>
          <w:b/>
          <w:bCs/>
          <w:lang w:val="en-US"/>
        </w:rPr>
      </w:pPr>
    </w:p>
    <w:p w14:paraId="2C536253" w14:textId="77777777" w:rsidR="001D15C1" w:rsidRDefault="001D15C1" w:rsidP="001D15C1">
      <w:pPr>
        <w:spacing w:after="120"/>
        <w:rPr>
          <w:b/>
          <w:bCs/>
          <w:lang w:val="en-US"/>
        </w:rPr>
      </w:pPr>
      <w:r>
        <w:rPr>
          <w:b/>
          <w:bCs/>
          <w:lang w:val="en-US"/>
        </w:rPr>
        <w:t>Proposal 4-2: Deprioritize group mobility option 2.</w:t>
      </w:r>
    </w:p>
    <w:p w14:paraId="15EFE32C" w14:textId="77777777" w:rsidR="001D15C1" w:rsidRDefault="001D15C1" w:rsidP="001D15C1">
      <w:pPr>
        <w:spacing w:after="120"/>
        <w:rPr>
          <w:b/>
          <w:bCs/>
          <w:lang w:val="en-US"/>
        </w:rPr>
      </w:pPr>
    </w:p>
    <w:p w14:paraId="2EEABA5F" w14:textId="77777777" w:rsidR="001D15C1" w:rsidRDefault="001D15C1" w:rsidP="001D15C1">
      <w:pPr>
        <w:spacing w:after="120"/>
        <w:rPr>
          <w:b/>
          <w:bCs/>
          <w:lang w:val="en-US"/>
        </w:rPr>
      </w:pPr>
      <w:r>
        <w:rPr>
          <w:b/>
          <w:bCs/>
          <w:lang w:val="en-US"/>
        </w:rPr>
        <w:t>Proposal 4-3: Support group mobility option 3 and discuss if stage-2 description is needed.</w:t>
      </w:r>
    </w:p>
    <w:p w14:paraId="5975F239" w14:textId="77777777" w:rsidR="001D15C1" w:rsidRPr="001D15C1" w:rsidRDefault="001D15C1" w:rsidP="003A5C13">
      <w:pPr>
        <w:spacing w:after="120"/>
        <w:rPr>
          <w:lang w:val="en-US"/>
        </w:rPr>
      </w:pPr>
    </w:p>
    <w:p w14:paraId="7F9A5B2E" w14:textId="77777777" w:rsidR="00CD4C7B" w:rsidRPr="00320A6B" w:rsidRDefault="00CD4C7B" w:rsidP="00CD4C7B">
      <w:pPr>
        <w:pStyle w:val="Heading1"/>
      </w:pPr>
      <w:r w:rsidRPr="00320A6B">
        <w:t>References</w:t>
      </w:r>
    </w:p>
    <w:p w14:paraId="18A46778" w14:textId="72063850" w:rsidR="00167A87" w:rsidRDefault="00BF49E1"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1" w:name="_Ref490247806"/>
      <w:r>
        <w:rPr>
          <w:lang w:eastAsia="zh-CN"/>
        </w:rPr>
        <w:t xml:space="preserve">Chairman </w:t>
      </w:r>
      <w:r w:rsidR="006A48C8">
        <w:rPr>
          <w:lang w:eastAsia="zh-CN"/>
        </w:rPr>
        <w:t>N</w:t>
      </w:r>
      <w:r>
        <w:rPr>
          <w:lang w:eastAsia="zh-CN"/>
        </w:rPr>
        <w:t>otes</w:t>
      </w:r>
      <w:r w:rsidR="00167A87" w:rsidRPr="00F04C08">
        <w:rPr>
          <w:lang w:val="en-US" w:eastAsia="zh-CN"/>
        </w:rPr>
        <w:t xml:space="preserve">; TSG RAN </w:t>
      </w:r>
      <w:r>
        <w:rPr>
          <w:lang w:val="en-US" w:eastAsia="zh-CN"/>
        </w:rPr>
        <w:t xml:space="preserve">WG2 </w:t>
      </w:r>
      <w:r w:rsidR="00167A87" w:rsidRPr="00F04C08">
        <w:rPr>
          <w:lang w:val="en-US" w:eastAsia="zh-CN"/>
        </w:rPr>
        <w:t>Meeting #</w:t>
      </w:r>
      <w:r>
        <w:rPr>
          <w:lang w:val="en-US" w:eastAsia="zh-CN"/>
        </w:rPr>
        <w:t>119</w:t>
      </w:r>
      <w:r w:rsidR="00D0310E">
        <w:rPr>
          <w:lang w:val="en-US" w:eastAsia="zh-CN"/>
        </w:rPr>
        <w:t>bis-</w:t>
      </w:r>
      <w:r>
        <w:rPr>
          <w:lang w:val="en-US" w:eastAsia="zh-CN"/>
        </w:rPr>
        <w:t>e</w:t>
      </w:r>
      <w:r w:rsidR="00167A87" w:rsidRPr="00F04C08">
        <w:rPr>
          <w:lang w:val="en-US" w:eastAsia="zh-CN"/>
        </w:rPr>
        <w:t xml:space="preserve">, </w:t>
      </w:r>
      <w:r w:rsidR="00D0310E">
        <w:rPr>
          <w:lang w:val="en-US" w:eastAsia="zh-CN"/>
        </w:rPr>
        <w:t>October</w:t>
      </w:r>
      <w:r w:rsidR="00167A87" w:rsidRPr="00F04C08">
        <w:rPr>
          <w:lang w:val="en-US" w:eastAsia="zh-CN"/>
        </w:rPr>
        <w:t>, 20</w:t>
      </w:r>
      <w:r w:rsidR="0036720B" w:rsidRPr="00F04C08">
        <w:rPr>
          <w:lang w:val="en-US" w:eastAsia="zh-CN"/>
        </w:rPr>
        <w:t>2</w:t>
      </w:r>
      <w:r w:rsidR="00EA0AAF">
        <w:rPr>
          <w:lang w:val="en-US" w:eastAsia="zh-CN"/>
        </w:rPr>
        <w:t>2</w:t>
      </w:r>
    </w:p>
    <w:p w14:paraId="73AB5CC1" w14:textId="1003A6E4" w:rsidR="00D0310E" w:rsidRDefault="00D0310E"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sidRPr="00D0310E">
        <w:rPr>
          <w:lang w:val="en-US" w:eastAsia="zh-CN"/>
        </w:rPr>
        <w:t xml:space="preserve">RP-222671, New WID on Mobile IAB, TSG RAN Meeting #97, </w:t>
      </w:r>
      <w:r>
        <w:rPr>
          <w:lang w:val="en-US" w:eastAsia="zh-CN"/>
        </w:rPr>
        <w:t xml:space="preserve">Electronic meeting, </w:t>
      </w:r>
      <w:r w:rsidRPr="00D0310E">
        <w:rPr>
          <w:lang w:val="en-US" w:eastAsia="zh-CN"/>
        </w:rPr>
        <w:t xml:space="preserve">September 2022 </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1"/>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C2DE1" w14:textId="77777777" w:rsidR="001543BB" w:rsidRDefault="001543BB">
      <w:r>
        <w:separator/>
      </w:r>
    </w:p>
  </w:endnote>
  <w:endnote w:type="continuationSeparator" w:id="0">
    <w:p w14:paraId="05082EF7" w14:textId="77777777" w:rsidR="001543BB" w:rsidRDefault="0015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933A4" w14:textId="77777777" w:rsidR="001543BB" w:rsidRDefault="001543BB">
      <w:r>
        <w:separator/>
      </w:r>
    </w:p>
  </w:footnote>
  <w:footnote w:type="continuationSeparator" w:id="0">
    <w:p w14:paraId="027384B3" w14:textId="77777777" w:rsidR="001543BB" w:rsidRDefault="00154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B147D"/>
    <w:multiLevelType w:val="hybridMultilevel"/>
    <w:tmpl w:val="49CA4BFC"/>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B778F"/>
    <w:multiLevelType w:val="hybridMultilevel"/>
    <w:tmpl w:val="39DC06A6"/>
    <w:lvl w:ilvl="0" w:tplc="25A6D9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3253C"/>
    <w:multiLevelType w:val="hybridMultilevel"/>
    <w:tmpl w:val="7EA84FA2"/>
    <w:lvl w:ilvl="0" w:tplc="F61EA4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8336E"/>
    <w:multiLevelType w:val="hybridMultilevel"/>
    <w:tmpl w:val="6374E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61829"/>
    <w:multiLevelType w:val="hybridMultilevel"/>
    <w:tmpl w:val="874273F4"/>
    <w:lvl w:ilvl="0" w:tplc="A0847A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42C45"/>
    <w:multiLevelType w:val="hybridMultilevel"/>
    <w:tmpl w:val="3548537A"/>
    <w:lvl w:ilvl="0" w:tplc="E39202E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4C174A"/>
    <w:multiLevelType w:val="hybridMultilevel"/>
    <w:tmpl w:val="D9285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D32941"/>
    <w:multiLevelType w:val="hybridMultilevel"/>
    <w:tmpl w:val="BA48EFDA"/>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2E090B"/>
    <w:multiLevelType w:val="hybridMultilevel"/>
    <w:tmpl w:val="A8AA1CA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6" w15:restartNumberingAfterBreak="0">
    <w:nsid w:val="2D2E0B83"/>
    <w:multiLevelType w:val="hybridMultilevel"/>
    <w:tmpl w:val="D9CACE7A"/>
    <w:lvl w:ilvl="0" w:tplc="D8E669D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32EFB"/>
    <w:multiLevelType w:val="hybridMultilevel"/>
    <w:tmpl w:val="B7C4494A"/>
    <w:lvl w:ilvl="0" w:tplc="6D26C8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C6433"/>
    <w:multiLevelType w:val="hybridMultilevel"/>
    <w:tmpl w:val="42B0E154"/>
    <w:lvl w:ilvl="0" w:tplc="32A8B95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EF7950"/>
    <w:multiLevelType w:val="hybridMultilevel"/>
    <w:tmpl w:val="427037FE"/>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A36AD8"/>
    <w:multiLevelType w:val="hybridMultilevel"/>
    <w:tmpl w:val="713EF4DA"/>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BD7ED8"/>
    <w:multiLevelType w:val="hybridMultilevel"/>
    <w:tmpl w:val="05526BB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15:restartNumberingAfterBreak="0">
    <w:nsid w:val="51BA1C9E"/>
    <w:multiLevelType w:val="hybridMultilevel"/>
    <w:tmpl w:val="990AC310"/>
    <w:lvl w:ilvl="0" w:tplc="DDC8CCD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8A3064"/>
    <w:multiLevelType w:val="hybridMultilevel"/>
    <w:tmpl w:val="2C88D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E748AB"/>
    <w:multiLevelType w:val="hybridMultilevel"/>
    <w:tmpl w:val="33862BCE"/>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F7745F"/>
    <w:multiLevelType w:val="hybridMultilevel"/>
    <w:tmpl w:val="424CD77A"/>
    <w:lvl w:ilvl="0" w:tplc="DDC8CC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4900"/>
        </w:tabs>
        <w:ind w:left="-4900" w:hanging="360"/>
      </w:pPr>
      <w:rPr>
        <w:rFonts w:ascii="Symbol" w:hAnsi="Symbol" w:hint="default"/>
        <w:b/>
        <w:i w:val="0"/>
        <w:color w:val="auto"/>
        <w:sz w:val="22"/>
      </w:rPr>
    </w:lvl>
    <w:lvl w:ilvl="1" w:tplc="04090003">
      <w:start w:val="1"/>
      <w:numFmt w:val="bullet"/>
      <w:lvlText w:val="o"/>
      <w:lvlJc w:val="left"/>
      <w:pPr>
        <w:tabs>
          <w:tab w:val="num" w:pos="-4090"/>
        </w:tabs>
        <w:ind w:left="-4090" w:hanging="360"/>
      </w:pPr>
      <w:rPr>
        <w:rFonts w:ascii="Courier New" w:hAnsi="Courier New" w:cs="Courier New" w:hint="default"/>
      </w:rPr>
    </w:lvl>
    <w:lvl w:ilvl="2" w:tplc="04090005" w:tentative="1">
      <w:start w:val="1"/>
      <w:numFmt w:val="bullet"/>
      <w:lvlText w:val=""/>
      <w:lvlJc w:val="left"/>
      <w:pPr>
        <w:tabs>
          <w:tab w:val="num" w:pos="-3370"/>
        </w:tabs>
        <w:ind w:left="-3370" w:hanging="360"/>
      </w:pPr>
      <w:rPr>
        <w:rFonts w:ascii="Wingdings" w:hAnsi="Wingdings" w:hint="default"/>
      </w:rPr>
    </w:lvl>
    <w:lvl w:ilvl="3" w:tplc="04090001" w:tentative="1">
      <w:start w:val="1"/>
      <w:numFmt w:val="bullet"/>
      <w:lvlText w:val=""/>
      <w:lvlJc w:val="left"/>
      <w:pPr>
        <w:tabs>
          <w:tab w:val="num" w:pos="-2650"/>
        </w:tabs>
        <w:ind w:left="-2650" w:hanging="360"/>
      </w:pPr>
      <w:rPr>
        <w:rFonts w:ascii="Symbol" w:hAnsi="Symbol" w:hint="default"/>
      </w:rPr>
    </w:lvl>
    <w:lvl w:ilvl="4" w:tplc="04090003" w:tentative="1">
      <w:start w:val="1"/>
      <w:numFmt w:val="bullet"/>
      <w:lvlText w:val="o"/>
      <w:lvlJc w:val="left"/>
      <w:pPr>
        <w:tabs>
          <w:tab w:val="num" w:pos="-1930"/>
        </w:tabs>
        <w:ind w:left="-1930" w:hanging="360"/>
      </w:pPr>
      <w:rPr>
        <w:rFonts w:ascii="Courier New" w:hAnsi="Courier New" w:cs="Courier New" w:hint="default"/>
      </w:rPr>
    </w:lvl>
    <w:lvl w:ilvl="5" w:tplc="04090005" w:tentative="1">
      <w:start w:val="1"/>
      <w:numFmt w:val="bullet"/>
      <w:lvlText w:val=""/>
      <w:lvlJc w:val="left"/>
      <w:pPr>
        <w:tabs>
          <w:tab w:val="num" w:pos="-1210"/>
        </w:tabs>
        <w:ind w:left="-1210" w:hanging="360"/>
      </w:pPr>
      <w:rPr>
        <w:rFonts w:ascii="Wingdings" w:hAnsi="Wingdings" w:hint="default"/>
      </w:rPr>
    </w:lvl>
    <w:lvl w:ilvl="6" w:tplc="04090001" w:tentative="1">
      <w:start w:val="1"/>
      <w:numFmt w:val="bullet"/>
      <w:lvlText w:val=""/>
      <w:lvlJc w:val="left"/>
      <w:pPr>
        <w:tabs>
          <w:tab w:val="num" w:pos="-490"/>
        </w:tabs>
        <w:ind w:left="-490" w:hanging="360"/>
      </w:pPr>
      <w:rPr>
        <w:rFonts w:ascii="Symbol" w:hAnsi="Symbol" w:hint="default"/>
      </w:rPr>
    </w:lvl>
    <w:lvl w:ilvl="7" w:tplc="04090003" w:tentative="1">
      <w:start w:val="1"/>
      <w:numFmt w:val="bullet"/>
      <w:lvlText w:val="o"/>
      <w:lvlJc w:val="left"/>
      <w:pPr>
        <w:tabs>
          <w:tab w:val="num" w:pos="230"/>
        </w:tabs>
        <w:ind w:left="230" w:hanging="360"/>
      </w:pPr>
      <w:rPr>
        <w:rFonts w:ascii="Courier New" w:hAnsi="Courier New" w:cs="Courier New" w:hint="default"/>
      </w:rPr>
    </w:lvl>
    <w:lvl w:ilvl="8" w:tplc="04090005" w:tentative="1">
      <w:start w:val="1"/>
      <w:numFmt w:val="bullet"/>
      <w:lvlText w:val=""/>
      <w:lvlJc w:val="left"/>
      <w:pPr>
        <w:tabs>
          <w:tab w:val="num" w:pos="950"/>
        </w:tabs>
        <w:ind w:left="950" w:hanging="360"/>
      </w:pPr>
      <w:rPr>
        <w:rFonts w:ascii="Wingdings" w:hAnsi="Wingdings" w:hint="default"/>
      </w:rPr>
    </w:lvl>
  </w:abstractNum>
  <w:abstractNum w:abstractNumId="41"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40"/>
  </w:num>
  <w:num w:numId="3">
    <w:abstractNumId w:val="30"/>
  </w:num>
  <w:num w:numId="4">
    <w:abstractNumId w:val="11"/>
  </w:num>
  <w:num w:numId="5">
    <w:abstractNumId w:val="0"/>
  </w:num>
  <w:num w:numId="6">
    <w:abstractNumId w:val="32"/>
  </w:num>
  <w:num w:numId="7">
    <w:abstractNumId w:val="29"/>
  </w:num>
  <w:num w:numId="8">
    <w:abstractNumId w:val="41"/>
  </w:num>
  <w:num w:numId="9">
    <w:abstractNumId w:val="21"/>
  </w:num>
  <w:num w:numId="10">
    <w:abstractNumId w:val="35"/>
  </w:num>
  <w:num w:numId="11">
    <w:abstractNumId w:val="36"/>
  </w:num>
  <w:num w:numId="12">
    <w:abstractNumId w:val="4"/>
  </w:num>
  <w:num w:numId="13">
    <w:abstractNumId w:val="26"/>
  </w:num>
  <w:num w:numId="14">
    <w:abstractNumId w:val="23"/>
  </w:num>
  <w:num w:numId="15">
    <w:abstractNumId w:val="33"/>
  </w:num>
  <w:num w:numId="16">
    <w:abstractNumId w:val="19"/>
  </w:num>
  <w:num w:numId="17">
    <w:abstractNumId w:val="25"/>
  </w:num>
  <w:num w:numId="18">
    <w:abstractNumId w:val="31"/>
  </w:num>
  <w:num w:numId="19">
    <w:abstractNumId w:val="38"/>
  </w:num>
  <w:num w:numId="20">
    <w:abstractNumId w:val="2"/>
  </w:num>
  <w:num w:numId="21">
    <w:abstractNumId w:val="3"/>
  </w:num>
  <w:num w:numId="22">
    <w:abstractNumId w:val="10"/>
  </w:num>
  <w:num w:numId="23">
    <w:abstractNumId w:val="13"/>
  </w:num>
  <w:num w:numId="24">
    <w:abstractNumId w:val="6"/>
  </w:num>
  <w:num w:numId="25">
    <w:abstractNumId w:val="17"/>
  </w:num>
  <w:num w:numId="26">
    <w:abstractNumId w:val="5"/>
  </w:num>
  <w:num w:numId="27">
    <w:abstractNumId w:val="34"/>
  </w:num>
  <w:num w:numId="28">
    <w:abstractNumId w:val="7"/>
  </w:num>
  <w:num w:numId="29">
    <w:abstractNumId w:val="8"/>
  </w:num>
  <w:num w:numId="30">
    <w:abstractNumId w:val="12"/>
  </w:num>
  <w:num w:numId="31">
    <w:abstractNumId w:val="40"/>
  </w:num>
  <w:num w:numId="32">
    <w:abstractNumId w:val="27"/>
  </w:num>
  <w:num w:numId="33">
    <w:abstractNumId w:val="16"/>
  </w:num>
  <w:num w:numId="34">
    <w:abstractNumId w:val="28"/>
  </w:num>
  <w:num w:numId="35">
    <w:abstractNumId w:val="37"/>
  </w:num>
  <w:num w:numId="36">
    <w:abstractNumId w:val="22"/>
  </w:num>
  <w:num w:numId="37">
    <w:abstractNumId w:val="14"/>
  </w:num>
  <w:num w:numId="38">
    <w:abstractNumId w:val="1"/>
  </w:num>
  <w:num w:numId="39">
    <w:abstractNumId w:val="24"/>
  </w:num>
  <w:num w:numId="40">
    <w:abstractNumId w:val="39"/>
  </w:num>
  <w:num w:numId="41">
    <w:abstractNumId w:val="15"/>
  </w:num>
  <w:num w:numId="42">
    <w:abstractNumId w:val="9"/>
  </w:num>
  <w:num w:numId="4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64F6"/>
    <w:rsid w:val="00006EBD"/>
    <w:rsid w:val="00010161"/>
    <w:rsid w:val="00012887"/>
    <w:rsid w:val="00013C23"/>
    <w:rsid w:val="000147A7"/>
    <w:rsid w:val="000152D3"/>
    <w:rsid w:val="00015DE8"/>
    <w:rsid w:val="0001657D"/>
    <w:rsid w:val="0001796A"/>
    <w:rsid w:val="00020686"/>
    <w:rsid w:val="00023FC6"/>
    <w:rsid w:val="00025CE4"/>
    <w:rsid w:val="00026FC4"/>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40095"/>
    <w:rsid w:val="0004017A"/>
    <w:rsid w:val="0004341F"/>
    <w:rsid w:val="00044ED2"/>
    <w:rsid w:val="00045625"/>
    <w:rsid w:val="00046AE0"/>
    <w:rsid w:val="0004707F"/>
    <w:rsid w:val="0005117E"/>
    <w:rsid w:val="000516D8"/>
    <w:rsid w:val="00051F1E"/>
    <w:rsid w:val="0005270E"/>
    <w:rsid w:val="00056DB2"/>
    <w:rsid w:val="0006135D"/>
    <w:rsid w:val="00061505"/>
    <w:rsid w:val="00065659"/>
    <w:rsid w:val="00065D6B"/>
    <w:rsid w:val="00065DE8"/>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0CEE"/>
    <w:rsid w:val="000926D3"/>
    <w:rsid w:val="00093164"/>
    <w:rsid w:val="000937B0"/>
    <w:rsid w:val="00096258"/>
    <w:rsid w:val="0009788E"/>
    <w:rsid w:val="000A050C"/>
    <w:rsid w:val="000A3F9B"/>
    <w:rsid w:val="000A5AD5"/>
    <w:rsid w:val="000A5FB3"/>
    <w:rsid w:val="000B0C46"/>
    <w:rsid w:val="000B0D71"/>
    <w:rsid w:val="000B19D0"/>
    <w:rsid w:val="000B2CBF"/>
    <w:rsid w:val="000B4310"/>
    <w:rsid w:val="000B4D19"/>
    <w:rsid w:val="000B4F58"/>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4A15"/>
    <w:rsid w:val="000D58AB"/>
    <w:rsid w:val="000D6B39"/>
    <w:rsid w:val="000D7982"/>
    <w:rsid w:val="000E427B"/>
    <w:rsid w:val="000E49BE"/>
    <w:rsid w:val="000E55A2"/>
    <w:rsid w:val="000E5617"/>
    <w:rsid w:val="000E6697"/>
    <w:rsid w:val="000F03B7"/>
    <w:rsid w:val="000F2F84"/>
    <w:rsid w:val="000F30BC"/>
    <w:rsid w:val="000F342D"/>
    <w:rsid w:val="000F5547"/>
    <w:rsid w:val="000F5CC9"/>
    <w:rsid w:val="000F5DDE"/>
    <w:rsid w:val="000F796E"/>
    <w:rsid w:val="00101232"/>
    <w:rsid w:val="00101BA1"/>
    <w:rsid w:val="00102DAD"/>
    <w:rsid w:val="00104704"/>
    <w:rsid w:val="00106455"/>
    <w:rsid w:val="00107EE0"/>
    <w:rsid w:val="0011222A"/>
    <w:rsid w:val="001158B5"/>
    <w:rsid w:val="00116DE8"/>
    <w:rsid w:val="00120844"/>
    <w:rsid w:val="00120C85"/>
    <w:rsid w:val="00121FB7"/>
    <w:rsid w:val="001223E0"/>
    <w:rsid w:val="001224F1"/>
    <w:rsid w:val="00122700"/>
    <w:rsid w:val="00123DB1"/>
    <w:rsid w:val="001241A8"/>
    <w:rsid w:val="00124B3D"/>
    <w:rsid w:val="00126209"/>
    <w:rsid w:val="00126D29"/>
    <w:rsid w:val="001271C1"/>
    <w:rsid w:val="00130949"/>
    <w:rsid w:val="00131495"/>
    <w:rsid w:val="0013234A"/>
    <w:rsid w:val="00134105"/>
    <w:rsid w:val="0013487C"/>
    <w:rsid w:val="00135C51"/>
    <w:rsid w:val="00135EC2"/>
    <w:rsid w:val="00137B44"/>
    <w:rsid w:val="00140C86"/>
    <w:rsid w:val="0014488C"/>
    <w:rsid w:val="00145075"/>
    <w:rsid w:val="0014593A"/>
    <w:rsid w:val="00146FB1"/>
    <w:rsid w:val="0014714F"/>
    <w:rsid w:val="0014751F"/>
    <w:rsid w:val="00147B8F"/>
    <w:rsid w:val="00147D5A"/>
    <w:rsid w:val="0015058A"/>
    <w:rsid w:val="00152357"/>
    <w:rsid w:val="001543BB"/>
    <w:rsid w:val="001568A4"/>
    <w:rsid w:val="00157634"/>
    <w:rsid w:val="0015777C"/>
    <w:rsid w:val="00157B0B"/>
    <w:rsid w:val="0016098E"/>
    <w:rsid w:val="00160AF6"/>
    <w:rsid w:val="00161683"/>
    <w:rsid w:val="001619CF"/>
    <w:rsid w:val="0016224C"/>
    <w:rsid w:val="00162A76"/>
    <w:rsid w:val="00163DF7"/>
    <w:rsid w:val="00163E1F"/>
    <w:rsid w:val="00165EF0"/>
    <w:rsid w:val="00167246"/>
    <w:rsid w:val="00167A87"/>
    <w:rsid w:val="00174173"/>
    <w:rsid w:val="001741A0"/>
    <w:rsid w:val="001752F1"/>
    <w:rsid w:val="001767D8"/>
    <w:rsid w:val="001769F9"/>
    <w:rsid w:val="00176A6D"/>
    <w:rsid w:val="0017733D"/>
    <w:rsid w:val="0017736D"/>
    <w:rsid w:val="001801CC"/>
    <w:rsid w:val="00181A75"/>
    <w:rsid w:val="001822E5"/>
    <w:rsid w:val="00182DE1"/>
    <w:rsid w:val="00183165"/>
    <w:rsid w:val="001833C6"/>
    <w:rsid w:val="00183953"/>
    <w:rsid w:val="00186DE6"/>
    <w:rsid w:val="00190142"/>
    <w:rsid w:val="00190C58"/>
    <w:rsid w:val="00194CC5"/>
    <w:rsid w:val="00194CD0"/>
    <w:rsid w:val="00196C23"/>
    <w:rsid w:val="00196DF8"/>
    <w:rsid w:val="0019788E"/>
    <w:rsid w:val="001A16DE"/>
    <w:rsid w:val="001A2B4C"/>
    <w:rsid w:val="001A33F0"/>
    <w:rsid w:val="001A6D8E"/>
    <w:rsid w:val="001A7342"/>
    <w:rsid w:val="001B059A"/>
    <w:rsid w:val="001B39BC"/>
    <w:rsid w:val="001B3DF2"/>
    <w:rsid w:val="001B49C9"/>
    <w:rsid w:val="001B560A"/>
    <w:rsid w:val="001B5FCC"/>
    <w:rsid w:val="001B6282"/>
    <w:rsid w:val="001B6FF1"/>
    <w:rsid w:val="001B720E"/>
    <w:rsid w:val="001B7C2D"/>
    <w:rsid w:val="001C01CB"/>
    <w:rsid w:val="001C0CD7"/>
    <w:rsid w:val="001C28B2"/>
    <w:rsid w:val="001C2B2E"/>
    <w:rsid w:val="001C595C"/>
    <w:rsid w:val="001D15C1"/>
    <w:rsid w:val="001D379F"/>
    <w:rsid w:val="001D3A7D"/>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59A"/>
    <w:rsid w:val="002016BF"/>
    <w:rsid w:val="00201844"/>
    <w:rsid w:val="00201B08"/>
    <w:rsid w:val="0020204C"/>
    <w:rsid w:val="002029A9"/>
    <w:rsid w:val="00203645"/>
    <w:rsid w:val="0020370C"/>
    <w:rsid w:val="00204045"/>
    <w:rsid w:val="0020425F"/>
    <w:rsid w:val="00206ED3"/>
    <w:rsid w:val="00207079"/>
    <w:rsid w:val="0021353E"/>
    <w:rsid w:val="002138DD"/>
    <w:rsid w:val="00214E95"/>
    <w:rsid w:val="00215C7D"/>
    <w:rsid w:val="00216471"/>
    <w:rsid w:val="00216FA7"/>
    <w:rsid w:val="00221DC7"/>
    <w:rsid w:val="00221E06"/>
    <w:rsid w:val="0022361C"/>
    <w:rsid w:val="00223AD3"/>
    <w:rsid w:val="00224198"/>
    <w:rsid w:val="002244A9"/>
    <w:rsid w:val="00225498"/>
    <w:rsid w:val="0022589F"/>
    <w:rsid w:val="0022606D"/>
    <w:rsid w:val="00226205"/>
    <w:rsid w:val="00226347"/>
    <w:rsid w:val="00233196"/>
    <w:rsid w:val="00233A4C"/>
    <w:rsid w:val="00235144"/>
    <w:rsid w:val="002364A5"/>
    <w:rsid w:val="00242D19"/>
    <w:rsid w:val="0024485F"/>
    <w:rsid w:val="00245B7D"/>
    <w:rsid w:val="00250812"/>
    <w:rsid w:val="00250B04"/>
    <w:rsid w:val="0025406F"/>
    <w:rsid w:val="00254484"/>
    <w:rsid w:val="00256B66"/>
    <w:rsid w:val="00260AE7"/>
    <w:rsid w:val="00262113"/>
    <w:rsid w:val="00262EDD"/>
    <w:rsid w:val="0026614D"/>
    <w:rsid w:val="0027053F"/>
    <w:rsid w:val="00270F19"/>
    <w:rsid w:val="00271E30"/>
    <w:rsid w:val="00271E96"/>
    <w:rsid w:val="00272C79"/>
    <w:rsid w:val="002747EC"/>
    <w:rsid w:val="00274E85"/>
    <w:rsid w:val="0027537D"/>
    <w:rsid w:val="002779A1"/>
    <w:rsid w:val="002805EC"/>
    <w:rsid w:val="00281980"/>
    <w:rsid w:val="002828C0"/>
    <w:rsid w:val="0028311E"/>
    <w:rsid w:val="002855BF"/>
    <w:rsid w:val="00290FC1"/>
    <w:rsid w:val="00293031"/>
    <w:rsid w:val="002956AA"/>
    <w:rsid w:val="002966A8"/>
    <w:rsid w:val="002A00A9"/>
    <w:rsid w:val="002A09FF"/>
    <w:rsid w:val="002A4AD1"/>
    <w:rsid w:val="002A64CB"/>
    <w:rsid w:val="002A717B"/>
    <w:rsid w:val="002B17AD"/>
    <w:rsid w:val="002B4AC3"/>
    <w:rsid w:val="002B69DE"/>
    <w:rsid w:val="002B7133"/>
    <w:rsid w:val="002C20DD"/>
    <w:rsid w:val="002C3919"/>
    <w:rsid w:val="002C4A37"/>
    <w:rsid w:val="002C6EDD"/>
    <w:rsid w:val="002C708A"/>
    <w:rsid w:val="002C72D4"/>
    <w:rsid w:val="002D10D9"/>
    <w:rsid w:val="002D1D6B"/>
    <w:rsid w:val="002D2415"/>
    <w:rsid w:val="002D2AB9"/>
    <w:rsid w:val="002D4340"/>
    <w:rsid w:val="002D50EB"/>
    <w:rsid w:val="002E13C5"/>
    <w:rsid w:val="002E18BB"/>
    <w:rsid w:val="002E1D57"/>
    <w:rsid w:val="002E2CD5"/>
    <w:rsid w:val="002E386F"/>
    <w:rsid w:val="002E3CCA"/>
    <w:rsid w:val="002E4270"/>
    <w:rsid w:val="002E44DA"/>
    <w:rsid w:val="002E598B"/>
    <w:rsid w:val="002E61FD"/>
    <w:rsid w:val="002E7B35"/>
    <w:rsid w:val="002F0D22"/>
    <w:rsid w:val="002F1ED3"/>
    <w:rsid w:val="002F267E"/>
    <w:rsid w:val="002F3C58"/>
    <w:rsid w:val="002F55AC"/>
    <w:rsid w:val="002F61D6"/>
    <w:rsid w:val="0030002C"/>
    <w:rsid w:val="003007BF"/>
    <w:rsid w:val="0030249C"/>
    <w:rsid w:val="00305ECA"/>
    <w:rsid w:val="00306271"/>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37E8"/>
    <w:rsid w:val="00326019"/>
    <w:rsid w:val="00326069"/>
    <w:rsid w:val="00326242"/>
    <w:rsid w:val="0033176D"/>
    <w:rsid w:val="00331D99"/>
    <w:rsid w:val="00335983"/>
    <w:rsid w:val="00335990"/>
    <w:rsid w:val="003360BD"/>
    <w:rsid w:val="00336957"/>
    <w:rsid w:val="00336CEE"/>
    <w:rsid w:val="00336E72"/>
    <w:rsid w:val="00337B1A"/>
    <w:rsid w:val="003408F6"/>
    <w:rsid w:val="00340AC4"/>
    <w:rsid w:val="003414FC"/>
    <w:rsid w:val="003417CA"/>
    <w:rsid w:val="003424E1"/>
    <w:rsid w:val="00342578"/>
    <w:rsid w:val="00343C86"/>
    <w:rsid w:val="00344236"/>
    <w:rsid w:val="003442D2"/>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0364"/>
    <w:rsid w:val="00371744"/>
    <w:rsid w:val="00372D36"/>
    <w:rsid w:val="00374BAF"/>
    <w:rsid w:val="00375A2E"/>
    <w:rsid w:val="00375CCC"/>
    <w:rsid w:val="00376792"/>
    <w:rsid w:val="00380A4A"/>
    <w:rsid w:val="00381FB6"/>
    <w:rsid w:val="00382A17"/>
    <w:rsid w:val="00382AC9"/>
    <w:rsid w:val="00382B15"/>
    <w:rsid w:val="00383752"/>
    <w:rsid w:val="003839E9"/>
    <w:rsid w:val="00383D39"/>
    <w:rsid w:val="00384448"/>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72F"/>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462"/>
    <w:rsid w:val="003D159B"/>
    <w:rsid w:val="003D2286"/>
    <w:rsid w:val="003D2B58"/>
    <w:rsid w:val="003D2C5B"/>
    <w:rsid w:val="003D3F2A"/>
    <w:rsid w:val="003D3FB5"/>
    <w:rsid w:val="003D561D"/>
    <w:rsid w:val="003D6072"/>
    <w:rsid w:val="003D7042"/>
    <w:rsid w:val="003D762B"/>
    <w:rsid w:val="003E16BE"/>
    <w:rsid w:val="003E1F2D"/>
    <w:rsid w:val="003E4A6A"/>
    <w:rsid w:val="003E4DDA"/>
    <w:rsid w:val="003E588D"/>
    <w:rsid w:val="003E6C37"/>
    <w:rsid w:val="003E6D72"/>
    <w:rsid w:val="003F037E"/>
    <w:rsid w:val="003F1AF2"/>
    <w:rsid w:val="003F28F4"/>
    <w:rsid w:val="003F3E81"/>
    <w:rsid w:val="003F799F"/>
    <w:rsid w:val="003F7BB3"/>
    <w:rsid w:val="00400113"/>
    <w:rsid w:val="00400AF9"/>
    <w:rsid w:val="00401520"/>
    <w:rsid w:val="00401855"/>
    <w:rsid w:val="00402AC2"/>
    <w:rsid w:val="004032C7"/>
    <w:rsid w:val="00403C9A"/>
    <w:rsid w:val="00405800"/>
    <w:rsid w:val="00410637"/>
    <w:rsid w:val="004119E9"/>
    <w:rsid w:val="004123E8"/>
    <w:rsid w:val="00412662"/>
    <w:rsid w:val="0041296E"/>
    <w:rsid w:val="00416B1A"/>
    <w:rsid w:val="004174BD"/>
    <w:rsid w:val="00420392"/>
    <w:rsid w:val="004203A6"/>
    <w:rsid w:val="00421A80"/>
    <w:rsid w:val="004223D5"/>
    <w:rsid w:val="0042394C"/>
    <w:rsid w:val="004269D0"/>
    <w:rsid w:val="004275A9"/>
    <w:rsid w:val="00430D92"/>
    <w:rsid w:val="004316D5"/>
    <w:rsid w:val="0043393F"/>
    <w:rsid w:val="0043492C"/>
    <w:rsid w:val="00435311"/>
    <w:rsid w:val="004378F1"/>
    <w:rsid w:val="00437E0C"/>
    <w:rsid w:val="00440AA6"/>
    <w:rsid w:val="00443341"/>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67A94"/>
    <w:rsid w:val="00471CDE"/>
    <w:rsid w:val="0047331C"/>
    <w:rsid w:val="00474C33"/>
    <w:rsid w:val="0047536C"/>
    <w:rsid w:val="00476CAD"/>
    <w:rsid w:val="00477455"/>
    <w:rsid w:val="004807E3"/>
    <w:rsid w:val="0048130D"/>
    <w:rsid w:val="004832C4"/>
    <w:rsid w:val="00483C1D"/>
    <w:rsid w:val="00485492"/>
    <w:rsid w:val="00485BDB"/>
    <w:rsid w:val="00486410"/>
    <w:rsid w:val="004864C2"/>
    <w:rsid w:val="00492258"/>
    <w:rsid w:val="00492558"/>
    <w:rsid w:val="0049656C"/>
    <w:rsid w:val="004972DD"/>
    <w:rsid w:val="004A0319"/>
    <w:rsid w:val="004A087E"/>
    <w:rsid w:val="004A2B72"/>
    <w:rsid w:val="004A2D7D"/>
    <w:rsid w:val="004A32F3"/>
    <w:rsid w:val="004A4700"/>
    <w:rsid w:val="004A59FA"/>
    <w:rsid w:val="004A68F4"/>
    <w:rsid w:val="004B20E3"/>
    <w:rsid w:val="004B39DD"/>
    <w:rsid w:val="004B41F8"/>
    <w:rsid w:val="004B5CED"/>
    <w:rsid w:val="004B6388"/>
    <w:rsid w:val="004B68D7"/>
    <w:rsid w:val="004B7120"/>
    <w:rsid w:val="004C1531"/>
    <w:rsid w:val="004C1974"/>
    <w:rsid w:val="004C229D"/>
    <w:rsid w:val="004C2E68"/>
    <w:rsid w:val="004C5A95"/>
    <w:rsid w:val="004C6BCC"/>
    <w:rsid w:val="004C7E7C"/>
    <w:rsid w:val="004D1DC6"/>
    <w:rsid w:val="004D3578"/>
    <w:rsid w:val="004D380D"/>
    <w:rsid w:val="004D383A"/>
    <w:rsid w:val="004E0C79"/>
    <w:rsid w:val="004E0CD4"/>
    <w:rsid w:val="004E213A"/>
    <w:rsid w:val="004E2917"/>
    <w:rsid w:val="004E383E"/>
    <w:rsid w:val="004E48C4"/>
    <w:rsid w:val="004E7CCA"/>
    <w:rsid w:val="004F0DE1"/>
    <w:rsid w:val="004F10A5"/>
    <w:rsid w:val="004F156A"/>
    <w:rsid w:val="004F158C"/>
    <w:rsid w:val="004F51B8"/>
    <w:rsid w:val="004F76F3"/>
    <w:rsid w:val="00502735"/>
    <w:rsid w:val="00502BC6"/>
    <w:rsid w:val="00503171"/>
    <w:rsid w:val="005037A0"/>
    <w:rsid w:val="0050524D"/>
    <w:rsid w:val="00506C28"/>
    <w:rsid w:val="00511F56"/>
    <w:rsid w:val="0051299A"/>
    <w:rsid w:val="00516518"/>
    <w:rsid w:val="005166D3"/>
    <w:rsid w:val="005169F2"/>
    <w:rsid w:val="0051770A"/>
    <w:rsid w:val="00522978"/>
    <w:rsid w:val="005234CD"/>
    <w:rsid w:val="00523FEE"/>
    <w:rsid w:val="00527DE0"/>
    <w:rsid w:val="00531145"/>
    <w:rsid w:val="00532A92"/>
    <w:rsid w:val="00534DA0"/>
    <w:rsid w:val="0053506A"/>
    <w:rsid w:val="00540007"/>
    <w:rsid w:val="00543E6C"/>
    <w:rsid w:val="00543F5F"/>
    <w:rsid w:val="0054417F"/>
    <w:rsid w:val="00546749"/>
    <w:rsid w:val="00546C98"/>
    <w:rsid w:val="00546CB4"/>
    <w:rsid w:val="0055050A"/>
    <w:rsid w:val="005506D7"/>
    <w:rsid w:val="005513E1"/>
    <w:rsid w:val="00551ED5"/>
    <w:rsid w:val="00551ED6"/>
    <w:rsid w:val="00551F97"/>
    <w:rsid w:val="00552D11"/>
    <w:rsid w:val="00553021"/>
    <w:rsid w:val="005547F0"/>
    <w:rsid w:val="00560655"/>
    <w:rsid w:val="0056076A"/>
    <w:rsid w:val="00561CD2"/>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47C"/>
    <w:rsid w:val="00580A44"/>
    <w:rsid w:val="00580E96"/>
    <w:rsid w:val="00582CDB"/>
    <w:rsid w:val="00584EE9"/>
    <w:rsid w:val="005855AB"/>
    <w:rsid w:val="005862E2"/>
    <w:rsid w:val="00586897"/>
    <w:rsid w:val="00586CF6"/>
    <w:rsid w:val="00587B48"/>
    <w:rsid w:val="005900CE"/>
    <w:rsid w:val="00591100"/>
    <w:rsid w:val="005920E6"/>
    <w:rsid w:val="00593B6E"/>
    <w:rsid w:val="0059652A"/>
    <w:rsid w:val="005A0B84"/>
    <w:rsid w:val="005A0BC5"/>
    <w:rsid w:val="005A14B6"/>
    <w:rsid w:val="005A166D"/>
    <w:rsid w:val="005A6916"/>
    <w:rsid w:val="005A73AD"/>
    <w:rsid w:val="005B1DC5"/>
    <w:rsid w:val="005B249B"/>
    <w:rsid w:val="005B3C9A"/>
    <w:rsid w:val="005B4474"/>
    <w:rsid w:val="005B46AD"/>
    <w:rsid w:val="005C0207"/>
    <w:rsid w:val="005C13F7"/>
    <w:rsid w:val="005C15EC"/>
    <w:rsid w:val="005C2845"/>
    <w:rsid w:val="005C43EE"/>
    <w:rsid w:val="005C528A"/>
    <w:rsid w:val="005C7E45"/>
    <w:rsid w:val="005D3307"/>
    <w:rsid w:val="005D53AD"/>
    <w:rsid w:val="005D5447"/>
    <w:rsid w:val="005D661E"/>
    <w:rsid w:val="005E1A07"/>
    <w:rsid w:val="005E359C"/>
    <w:rsid w:val="005E5D4F"/>
    <w:rsid w:val="005E6A6C"/>
    <w:rsid w:val="005F071B"/>
    <w:rsid w:val="005F21F1"/>
    <w:rsid w:val="005F2EDF"/>
    <w:rsid w:val="005F3692"/>
    <w:rsid w:val="005F4E8E"/>
    <w:rsid w:val="005F70C3"/>
    <w:rsid w:val="005F7843"/>
    <w:rsid w:val="0060164A"/>
    <w:rsid w:val="00602641"/>
    <w:rsid w:val="00603219"/>
    <w:rsid w:val="00604765"/>
    <w:rsid w:val="00605118"/>
    <w:rsid w:val="006067A4"/>
    <w:rsid w:val="006112AF"/>
    <w:rsid w:val="00611566"/>
    <w:rsid w:val="00613340"/>
    <w:rsid w:val="00614757"/>
    <w:rsid w:val="00614EE6"/>
    <w:rsid w:val="00615CCD"/>
    <w:rsid w:val="00621140"/>
    <w:rsid w:val="006211DA"/>
    <w:rsid w:val="00621371"/>
    <w:rsid w:val="00623713"/>
    <w:rsid w:val="00623A25"/>
    <w:rsid w:val="00624826"/>
    <w:rsid w:val="00626696"/>
    <w:rsid w:val="0062739F"/>
    <w:rsid w:val="00631DBD"/>
    <w:rsid w:val="00632222"/>
    <w:rsid w:val="00635F47"/>
    <w:rsid w:val="00641F14"/>
    <w:rsid w:val="00642C4E"/>
    <w:rsid w:val="0064411C"/>
    <w:rsid w:val="006454FE"/>
    <w:rsid w:val="00645D44"/>
    <w:rsid w:val="006465F3"/>
    <w:rsid w:val="00646B77"/>
    <w:rsid w:val="00646D99"/>
    <w:rsid w:val="00647E8B"/>
    <w:rsid w:val="00650084"/>
    <w:rsid w:val="00650F33"/>
    <w:rsid w:val="00651125"/>
    <w:rsid w:val="00651930"/>
    <w:rsid w:val="00651A6B"/>
    <w:rsid w:val="00652646"/>
    <w:rsid w:val="00652CF2"/>
    <w:rsid w:val="006531CD"/>
    <w:rsid w:val="00656910"/>
    <w:rsid w:val="00657C9E"/>
    <w:rsid w:val="006600CD"/>
    <w:rsid w:val="00660764"/>
    <w:rsid w:val="00661676"/>
    <w:rsid w:val="00662592"/>
    <w:rsid w:val="0066344B"/>
    <w:rsid w:val="00665BE7"/>
    <w:rsid w:val="00666483"/>
    <w:rsid w:val="00666DD5"/>
    <w:rsid w:val="006678B0"/>
    <w:rsid w:val="00670FA9"/>
    <w:rsid w:val="006729E9"/>
    <w:rsid w:val="00672E6C"/>
    <w:rsid w:val="006731E0"/>
    <w:rsid w:val="006762DC"/>
    <w:rsid w:val="0068064C"/>
    <w:rsid w:val="00680C10"/>
    <w:rsid w:val="00681379"/>
    <w:rsid w:val="006829F2"/>
    <w:rsid w:val="00682D58"/>
    <w:rsid w:val="006856CF"/>
    <w:rsid w:val="006901D6"/>
    <w:rsid w:val="006926BA"/>
    <w:rsid w:val="00692FC3"/>
    <w:rsid w:val="00693373"/>
    <w:rsid w:val="00694012"/>
    <w:rsid w:val="00694D2A"/>
    <w:rsid w:val="006965CD"/>
    <w:rsid w:val="00696DF2"/>
    <w:rsid w:val="00697858"/>
    <w:rsid w:val="006A1436"/>
    <w:rsid w:val="006A180F"/>
    <w:rsid w:val="006A334F"/>
    <w:rsid w:val="006A456D"/>
    <w:rsid w:val="006A48C8"/>
    <w:rsid w:val="006A5153"/>
    <w:rsid w:val="006A54BE"/>
    <w:rsid w:val="006A6944"/>
    <w:rsid w:val="006B0254"/>
    <w:rsid w:val="006B1EBB"/>
    <w:rsid w:val="006B4D84"/>
    <w:rsid w:val="006B605E"/>
    <w:rsid w:val="006B6466"/>
    <w:rsid w:val="006B7943"/>
    <w:rsid w:val="006C1519"/>
    <w:rsid w:val="006C4CC8"/>
    <w:rsid w:val="006C6225"/>
    <w:rsid w:val="006C66D8"/>
    <w:rsid w:val="006C768F"/>
    <w:rsid w:val="006C7F23"/>
    <w:rsid w:val="006D0C80"/>
    <w:rsid w:val="006D0EC9"/>
    <w:rsid w:val="006D1466"/>
    <w:rsid w:val="006D1E24"/>
    <w:rsid w:val="006D21DD"/>
    <w:rsid w:val="006D26EE"/>
    <w:rsid w:val="006D448F"/>
    <w:rsid w:val="006D4CB0"/>
    <w:rsid w:val="006D7D62"/>
    <w:rsid w:val="006E08C3"/>
    <w:rsid w:val="006E1417"/>
    <w:rsid w:val="006E1583"/>
    <w:rsid w:val="006E4365"/>
    <w:rsid w:val="006E5AD2"/>
    <w:rsid w:val="006E7397"/>
    <w:rsid w:val="006F0D09"/>
    <w:rsid w:val="006F0EE0"/>
    <w:rsid w:val="006F1C88"/>
    <w:rsid w:val="006F25E4"/>
    <w:rsid w:val="006F32EA"/>
    <w:rsid w:val="006F47F6"/>
    <w:rsid w:val="006F5D11"/>
    <w:rsid w:val="006F62AC"/>
    <w:rsid w:val="006F6A2C"/>
    <w:rsid w:val="006F6E95"/>
    <w:rsid w:val="006F78E6"/>
    <w:rsid w:val="00702AAA"/>
    <w:rsid w:val="00702F97"/>
    <w:rsid w:val="00704C10"/>
    <w:rsid w:val="00705D88"/>
    <w:rsid w:val="00710201"/>
    <w:rsid w:val="0071066B"/>
    <w:rsid w:val="007119C1"/>
    <w:rsid w:val="00713634"/>
    <w:rsid w:val="00713A79"/>
    <w:rsid w:val="00715050"/>
    <w:rsid w:val="00716280"/>
    <w:rsid w:val="0071689E"/>
    <w:rsid w:val="00717A1C"/>
    <w:rsid w:val="0072014D"/>
    <w:rsid w:val="00721FCB"/>
    <w:rsid w:val="00727896"/>
    <w:rsid w:val="00730422"/>
    <w:rsid w:val="007312D2"/>
    <w:rsid w:val="007317F6"/>
    <w:rsid w:val="00734A5B"/>
    <w:rsid w:val="00734CEE"/>
    <w:rsid w:val="00735E81"/>
    <w:rsid w:val="00735F8A"/>
    <w:rsid w:val="00740DC3"/>
    <w:rsid w:val="007418B7"/>
    <w:rsid w:val="007419EF"/>
    <w:rsid w:val="00741E7A"/>
    <w:rsid w:val="00744E76"/>
    <w:rsid w:val="007460EF"/>
    <w:rsid w:val="0074662F"/>
    <w:rsid w:val="007478F0"/>
    <w:rsid w:val="00747A03"/>
    <w:rsid w:val="00747D0A"/>
    <w:rsid w:val="007504A9"/>
    <w:rsid w:val="0075199C"/>
    <w:rsid w:val="00753591"/>
    <w:rsid w:val="007542F1"/>
    <w:rsid w:val="00754F5F"/>
    <w:rsid w:val="00757D40"/>
    <w:rsid w:val="00761B1F"/>
    <w:rsid w:val="007633DD"/>
    <w:rsid w:val="007636D3"/>
    <w:rsid w:val="007658B7"/>
    <w:rsid w:val="007665C4"/>
    <w:rsid w:val="0076792F"/>
    <w:rsid w:val="00771416"/>
    <w:rsid w:val="00771BCD"/>
    <w:rsid w:val="00771E2F"/>
    <w:rsid w:val="00773ACB"/>
    <w:rsid w:val="00776516"/>
    <w:rsid w:val="00776C2C"/>
    <w:rsid w:val="007811A2"/>
    <w:rsid w:val="00781F0F"/>
    <w:rsid w:val="00781FA2"/>
    <w:rsid w:val="00782C71"/>
    <w:rsid w:val="00783E27"/>
    <w:rsid w:val="0078448D"/>
    <w:rsid w:val="007846F6"/>
    <w:rsid w:val="007851AB"/>
    <w:rsid w:val="00785DE8"/>
    <w:rsid w:val="00786052"/>
    <w:rsid w:val="00786A8D"/>
    <w:rsid w:val="00786DED"/>
    <w:rsid w:val="0078727C"/>
    <w:rsid w:val="00787E4E"/>
    <w:rsid w:val="0079049D"/>
    <w:rsid w:val="007914C8"/>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3413"/>
    <w:rsid w:val="007C67D2"/>
    <w:rsid w:val="007C77C4"/>
    <w:rsid w:val="007D107C"/>
    <w:rsid w:val="007D1B85"/>
    <w:rsid w:val="007D1FD5"/>
    <w:rsid w:val="007D309E"/>
    <w:rsid w:val="007D4B38"/>
    <w:rsid w:val="007D5BED"/>
    <w:rsid w:val="007D5EF6"/>
    <w:rsid w:val="007D692E"/>
    <w:rsid w:val="007D7D25"/>
    <w:rsid w:val="007E4556"/>
    <w:rsid w:val="007E457A"/>
    <w:rsid w:val="007E515A"/>
    <w:rsid w:val="007F04EE"/>
    <w:rsid w:val="007F14AD"/>
    <w:rsid w:val="007F31EB"/>
    <w:rsid w:val="007F7268"/>
    <w:rsid w:val="007F7342"/>
    <w:rsid w:val="007F7946"/>
    <w:rsid w:val="00800D57"/>
    <w:rsid w:val="00801D40"/>
    <w:rsid w:val="008028A4"/>
    <w:rsid w:val="00802F07"/>
    <w:rsid w:val="0080333D"/>
    <w:rsid w:val="00805E0B"/>
    <w:rsid w:val="00806310"/>
    <w:rsid w:val="00812B0C"/>
    <w:rsid w:val="00813245"/>
    <w:rsid w:val="00815481"/>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01FB"/>
    <w:rsid w:val="008324A5"/>
    <w:rsid w:val="00834604"/>
    <w:rsid w:val="00834A6D"/>
    <w:rsid w:val="00835415"/>
    <w:rsid w:val="00845E80"/>
    <w:rsid w:val="008460EF"/>
    <w:rsid w:val="0084763A"/>
    <w:rsid w:val="00850BBB"/>
    <w:rsid w:val="00850CBF"/>
    <w:rsid w:val="00851218"/>
    <w:rsid w:val="00854A4F"/>
    <w:rsid w:val="00855178"/>
    <w:rsid w:val="00856127"/>
    <w:rsid w:val="0085698E"/>
    <w:rsid w:val="008571AD"/>
    <w:rsid w:val="00857756"/>
    <w:rsid w:val="00860820"/>
    <w:rsid w:val="00860BEE"/>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95302"/>
    <w:rsid w:val="008953A5"/>
    <w:rsid w:val="00896192"/>
    <w:rsid w:val="008A0516"/>
    <w:rsid w:val="008A07BA"/>
    <w:rsid w:val="008A130F"/>
    <w:rsid w:val="008A15D5"/>
    <w:rsid w:val="008A1D28"/>
    <w:rsid w:val="008A203C"/>
    <w:rsid w:val="008A27FC"/>
    <w:rsid w:val="008A2D12"/>
    <w:rsid w:val="008A506B"/>
    <w:rsid w:val="008B192A"/>
    <w:rsid w:val="008B44F1"/>
    <w:rsid w:val="008B477F"/>
    <w:rsid w:val="008B5306"/>
    <w:rsid w:val="008B681A"/>
    <w:rsid w:val="008C0E06"/>
    <w:rsid w:val="008C1100"/>
    <w:rsid w:val="008C1A63"/>
    <w:rsid w:val="008C20AD"/>
    <w:rsid w:val="008C20F7"/>
    <w:rsid w:val="008C35C7"/>
    <w:rsid w:val="008C3F92"/>
    <w:rsid w:val="008C42B8"/>
    <w:rsid w:val="008C7888"/>
    <w:rsid w:val="008D05CE"/>
    <w:rsid w:val="008D0839"/>
    <w:rsid w:val="008D1CD5"/>
    <w:rsid w:val="008D2258"/>
    <w:rsid w:val="008D467A"/>
    <w:rsid w:val="008E131E"/>
    <w:rsid w:val="008E22FF"/>
    <w:rsid w:val="008E345E"/>
    <w:rsid w:val="008E3B19"/>
    <w:rsid w:val="008E412B"/>
    <w:rsid w:val="008F2039"/>
    <w:rsid w:val="008F2BF7"/>
    <w:rsid w:val="008F2E9A"/>
    <w:rsid w:val="00901335"/>
    <w:rsid w:val="0090187C"/>
    <w:rsid w:val="009024E8"/>
    <w:rsid w:val="0090271F"/>
    <w:rsid w:val="00902DB9"/>
    <w:rsid w:val="00903DD4"/>
    <w:rsid w:val="0090466A"/>
    <w:rsid w:val="009062D3"/>
    <w:rsid w:val="00907DD2"/>
    <w:rsid w:val="00911A3A"/>
    <w:rsid w:val="00911DEA"/>
    <w:rsid w:val="00912CD4"/>
    <w:rsid w:val="00915711"/>
    <w:rsid w:val="0091771F"/>
    <w:rsid w:val="00917ABE"/>
    <w:rsid w:val="0092024A"/>
    <w:rsid w:val="00921F58"/>
    <w:rsid w:val="00922DC1"/>
    <w:rsid w:val="0092322B"/>
    <w:rsid w:val="00924497"/>
    <w:rsid w:val="00924D2C"/>
    <w:rsid w:val="0092657D"/>
    <w:rsid w:val="00931360"/>
    <w:rsid w:val="00931AF4"/>
    <w:rsid w:val="00933F83"/>
    <w:rsid w:val="00936071"/>
    <w:rsid w:val="00940212"/>
    <w:rsid w:val="0094197F"/>
    <w:rsid w:val="00942E6A"/>
    <w:rsid w:val="00942EC2"/>
    <w:rsid w:val="00943958"/>
    <w:rsid w:val="009454B8"/>
    <w:rsid w:val="00945B30"/>
    <w:rsid w:val="009466BE"/>
    <w:rsid w:val="00946A16"/>
    <w:rsid w:val="0094798C"/>
    <w:rsid w:val="00952A0E"/>
    <w:rsid w:val="0095306B"/>
    <w:rsid w:val="0095382B"/>
    <w:rsid w:val="00955470"/>
    <w:rsid w:val="009556D0"/>
    <w:rsid w:val="00956A9D"/>
    <w:rsid w:val="00957D2B"/>
    <w:rsid w:val="00957E6F"/>
    <w:rsid w:val="00961B32"/>
    <w:rsid w:val="00962174"/>
    <w:rsid w:val="0096294B"/>
    <w:rsid w:val="0096408F"/>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136"/>
    <w:rsid w:val="009A443C"/>
    <w:rsid w:val="009A50C5"/>
    <w:rsid w:val="009A7362"/>
    <w:rsid w:val="009A7F1A"/>
    <w:rsid w:val="009B07CD"/>
    <w:rsid w:val="009B113E"/>
    <w:rsid w:val="009B16DE"/>
    <w:rsid w:val="009B2074"/>
    <w:rsid w:val="009B6E5C"/>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59CE"/>
    <w:rsid w:val="009F69DE"/>
    <w:rsid w:val="009F799D"/>
    <w:rsid w:val="009F7E84"/>
    <w:rsid w:val="00A03918"/>
    <w:rsid w:val="00A03B42"/>
    <w:rsid w:val="00A05DE2"/>
    <w:rsid w:val="00A067FE"/>
    <w:rsid w:val="00A10F02"/>
    <w:rsid w:val="00A11888"/>
    <w:rsid w:val="00A14E25"/>
    <w:rsid w:val="00A15FB2"/>
    <w:rsid w:val="00A16DF1"/>
    <w:rsid w:val="00A204CA"/>
    <w:rsid w:val="00A207D2"/>
    <w:rsid w:val="00A215F6"/>
    <w:rsid w:val="00A23966"/>
    <w:rsid w:val="00A23AC0"/>
    <w:rsid w:val="00A242F5"/>
    <w:rsid w:val="00A25A22"/>
    <w:rsid w:val="00A25F51"/>
    <w:rsid w:val="00A26593"/>
    <w:rsid w:val="00A270B0"/>
    <w:rsid w:val="00A300A0"/>
    <w:rsid w:val="00A30E3E"/>
    <w:rsid w:val="00A31AB2"/>
    <w:rsid w:val="00A31D17"/>
    <w:rsid w:val="00A32493"/>
    <w:rsid w:val="00A32E13"/>
    <w:rsid w:val="00A35830"/>
    <w:rsid w:val="00A423AE"/>
    <w:rsid w:val="00A43A2E"/>
    <w:rsid w:val="00A4476C"/>
    <w:rsid w:val="00A44AE9"/>
    <w:rsid w:val="00A45665"/>
    <w:rsid w:val="00A52986"/>
    <w:rsid w:val="00A52CC6"/>
    <w:rsid w:val="00A53724"/>
    <w:rsid w:val="00A54875"/>
    <w:rsid w:val="00A55549"/>
    <w:rsid w:val="00A566A2"/>
    <w:rsid w:val="00A57AD8"/>
    <w:rsid w:val="00A62BFC"/>
    <w:rsid w:val="00A6496B"/>
    <w:rsid w:val="00A65425"/>
    <w:rsid w:val="00A65C1F"/>
    <w:rsid w:val="00A66990"/>
    <w:rsid w:val="00A718DA"/>
    <w:rsid w:val="00A7247E"/>
    <w:rsid w:val="00A743AC"/>
    <w:rsid w:val="00A74826"/>
    <w:rsid w:val="00A74C06"/>
    <w:rsid w:val="00A75305"/>
    <w:rsid w:val="00A753E1"/>
    <w:rsid w:val="00A775DD"/>
    <w:rsid w:val="00A77F59"/>
    <w:rsid w:val="00A80334"/>
    <w:rsid w:val="00A82346"/>
    <w:rsid w:val="00A825BF"/>
    <w:rsid w:val="00A845B8"/>
    <w:rsid w:val="00A85BB3"/>
    <w:rsid w:val="00A87209"/>
    <w:rsid w:val="00A914AD"/>
    <w:rsid w:val="00A954D8"/>
    <w:rsid w:val="00A9671C"/>
    <w:rsid w:val="00A9769E"/>
    <w:rsid w:val="00A97749"/>
    <w:rsid w:val="00AA1553"/>
    <w:rsid w:val="00AA39FE"/>
    <w:rsid w:val="00AA423E"/>
    <w:rsid w:val="00AA4494"/>
    <w:rsid w:val="00AA57EE"/>
    <w:rsid w:val="00AA7EC1"/>
    <w:rsid w:val="00AB0409"/>
    <w:rsid w:val="00AB0FA6"/>
    <w:rsid w:val="00AB1408"/>
    <w:rsid w:val="00AB163A"/>
    <w:rsid w:val="00AB17A0"/>
    <w:rsid w:val="00AB1A97"/>
    <w:rsid w:val="00AB27C6"/>
    <w:rsid w:val="00AB2E1B"/>
    <w:rsid w:val="00AB4F3D"/>
    <w:rsid w:val="00AB504B"/>
    <w:rsid w:val="00AB5A5A"/>
    <w:rsid w:val="00AB71C6"/>
    <w:rsid w:val="00AB7EA2"/>
    <w:rsid w:val="00AC0234"/>
    <w:rsid w:val="00AC1314"/>
    <w:rsid w:val="00AC1E31"/>
    <w:rsid w:val="00AC26C2"/>
    <w:rsid w:val="00AC2CF8"/>
    <w:rsid w:val="00AC3E63"/>
    <w:rsid w:val="00AC4320"/>
    <w:rsid w:val="00AC53FE"/>
    <w:rsid w:val="00AC7CA7"/>
    <w:rsid w:val="00AD0C68"/>
    <w:rsid w:val="00AD0F1D"/>
    <w:rsid w:val="00AD2619"/>
    <w:rsid w:val="00AD4D8C"/>
    <w:rsid w:val="00AD5427"/>
    <w:rsid w:val="00AD5B72"/>
    <w:rsid w:val="00AD7EB7"/>
    <w:rsid w:val="00AE06A4"/>
    <w:rsid w:val="00AE095D"/>
    <w:rsid w:val="00AE1871"/>
    <w:rsid w:val="00AE26C0"/>
    <w:rsid w:val="00AE32B8"/>
    <w:rsid w:val="00AE35AC"/>
    <w:rsid w:val="00AE4A32"/>
    <w:rsid w:val="00AE5998"/>
    <w:rsid w:val="00AE5A3F"/>
    <w:rsid w:val="00AE67B2"/>
    <w:rsid w:val="00AE7394"/>
    <w:rsid w:val="00AE7935"/>
    <w:rsid w:val="00AF1C7D"/>
    <w:rsid w:val="00AF20A6"/>
    <w:rsid w:val="00AF2778"/>
    <w:rsid w:val="00AF3563"/>
    <w:rsid w:val="00AF5E5C"/>
    <w:rsid w:val="00AF6272"/>
    <w:rsid w:val="00B002EA"/>
    <w:rsid w:val="00B024E5"/>
    <w:rsid w:val="00B033FA"/>
    <w:rsid w:val="00B0343F"/>
    <w:rsid w:val="00B046A0"/>
    <w:rsid w:val="00B04A75"/>
    <w:rsid w:val="00B0648D"/>
    <w:rsid w:val="00B07AAA"/>
    <w:rsid w:val="00B10754"/>
    <w:rsid w:val="00B11743"/>
    <w:rsid w:val="00B1192D"/>
    <w:rsid w:val="00B11CB0"/>
    <w:rsid w:val="00B1514F"/>
    <w:rsid w:val="00B15449"/>
    <w:rsid w:val="00B154C9"/>
    <w:rsid w:val="00B15627"/>
    <w:rsid w:val="00B15ADA"/>
    <w:rsid w:val="00B1608D"/>
    <w:rsid w:val="00B1608F"/>
    <w:rsid w:val="00B2397F"/>
    <w:rsid w:val="00B23FAA"/>
    <w:rsid w:val="00B2755F"/>
    <w:rsid w:val="00B30ADA"/>
    <w:rsid w:val="00B331AE"/>
    <w:rsid w:val="00B33E45"/>
    <w:rsid w:val="00B359B7"/>
    <w:rsid w:val="00B36BDD"/>
    <w:rsid w:val="00B40295"/>
    <w:rsid w:val="00B40C67"/>
    <w:rsid w:val="00B422C3"/>
    <w:rsid w:val="00B42667"/>
    <w:rsid w:val="00B444B8"/>
    <w:rsid w:val="00B4746E"/>
    <w:rsid w:val="00B47FD1"/>
    <w:rsid w:val="00B516BB"/>
    <w:rsid w:val="00B51B0A"/>
    <w:rsid w:val="00B5205D"/>
    <w:rsid w:val="00B52D96"/>
    <w:rsid w:val="00B53C45"/>
    <w:rsid w:val="00B54665"/>
    <w:rsid w:val="00B61417"/>
    <w:rsid w:val="00B62989"/>
    <w:rsid w:val="00B62E9A"/>
    <w:rsid w:val="00B633C3"/>
    <w:rsid w:val="00B6406E"/>
    <w:rsid w:val="00B642B6"/>
    <w:rsid w:val="00B65E42"/>
    <w:rsid w:val="00B6646D"/>
    <w:rsid w:val="00B6737A"/>
    <w:rsid w:val="00B701A0"/>
    <w:rsid w:val="00B72CC9"/>
    <w:rsid w:val="00B73D0C"/>
    <w:rsid w:val="00B747AE"/>
    <w:rsid w:val="00B74842"/>
    <w:rsid w:val="00B751DC"/>
    <w:rsid w:val="00B756ED"/>
    <w:rsid w:val="00B75EF1"/>
    <w:rsid w:val="00B770FF"/>
    <w:rsid w:val="00B8019B"/>
    <w:rsid w:val="00B82DD7"/>
    <w:rsid w:val="00B83F9A"/>
    <w:rsid w:val="00B84B18"/>
    <w:rsid w:val="00B86A6B"/>
    <w:rsid w:val="00B8722E"/>
    <w:rsid w:val="00B8739B"/>
    <w:rsid w:val="00B912B1"/>
    <w:rsid w:val="00B919F2"/>
    <w:rsid w:val="00B96CCF"/>
    <w:rsid w:val="00B97C71"/>
    <w:rsid w:val="00B97CBC"/>
    <w:rsid w:val="00BA2ABC"/>
    <w:rsid w:val="00BA3230"/>
    <w:rsid w:val="00BA37B5"/>
    <w:rsid w:val="00BA3913"/>
    <w:rsid w:val="00BA601F"/>
    <w:rsid w:val="00BA6B3D"/>
    <w:rsid w:val="00BA7FDD"/>
    <w:rsid w:val="00BB1993"/>
    <w:rsid w:val="00BB1D64"/>
    <w:rsid w:val="00BB5E22"/>
    <w:rsid w:val="00BB69C4"/>
    <w:rsid w:val="00BC02B4"/>
    <w:rsid w:val="00BC07C5"/>
    <w:rsid w:val="00BC136A"/>
    <w:rsid w:val="00BC175D"/>
    <w:rsid w:val="00BC1BBC"/>
    <w:rsid w:val="00BC1C99"/>
    <w:rsid w:val="00BC2D6C"/>
    <w:rsid w:val="00BC3A5F"/>
    <w:rsid w:val="00BC41B5"/>
    <w:rsid w:val="00BC5A4D"/>
    <w:rsid w:val="00BC7783"/>
    <w:rsid w:val="00BD091C"/>
    <w:rsid w:val="00BD1631"/>
    <w:rsid w:val="00BD31D3"/>
    <w:rsid w:val="00BD55FC"/>
    <w:rsid w:val="00BD6273"/>
    <w:rsid w:val="00BD67B1"/>
    <w:rsid w:val="00BE5261"/>
    <w:rsid w:val="00BE7500"/>
    <w:rsid w:val="00BE7B3F"/>
    <w:rsid w:val="00BF2DF0"/>
    <w:rsid w:val="00BF2E14"/>
    <w:rsid w:val="00BF2ECB"/>
    <w:rsid w:val="00BF4416"/>
    <w:rsid w:val="00BF449E"/>
    <w:rsid w:val="00BF46D7"/>
    <w:rsid w:val="00BF49E1"/>
    <w:rsid w:val="00BF5561"/>
    <w:rsid w:val="00BF630D"/>
    <w:rsid w:val="00BF6EB6"/>
    <w:rsid w:val="00C01E8E"/>
    <w:rsid w:val="00C03D2D"/>
    <w:rsid w:val="00C042E6"/>
    <w:rsid w:val="00C07B22"/>
    <w:rsid w:val="00C07D96"/>
    <w:rsid w:val="00C10DF1"/>
    <w:rsid w:val="00C12B51"/>
    <w:rsid w:val="00C13DC1"/>
    <w:rsid w:val="00C15264"/>
    <w:rsid w:val="00C15795"/>
    <w:rsid w:val="00C16357"/>
    <w:rsid w:val="00C17978"/>
    <w:rsid w:val="00C2032B"/>
    <w:rsid w:val="00C20E9C"/>
    <w:rsid w:val="00C230AE"/>
    <w:rsid w:val="00C235C7"/>
    <w:rsid w:val="00C23FA7"/>
    <w:rsid w:val="00C24650"/>
    <w:rsid w:val="00C2597A"/>
    <w:rsid w:val="00C25AAF"/>
    <w:rsid w:val="00C26782"/>
    <w:rsid w:val="00C27752"/>
    <w:rsid w:val="00C27B36"/>
    <w:rsid w:val="00C31C47"/>
    <w:rsid w:val="00C31F2E"/>
    <w:rsid w:val="00C32347"/>
    <w:rsid w:val="00C33079"/>
    <w:rsid w:val="00C330DF"/>
    <w:rsid w:val="00C333E9"/>
    <w:rsid w:val="00C34F52"/>
    <w:rsid w:val="00C37FDE"/>
    <w:rsid w:val="00C41500"/>
    <w:rsid w:val="00C42782"/>
    <w:rsid w:val="00C43926"/>
    <w:rsid w:val="00C4443E"/>
    <w:rsid w:val="00C46BDB"/>
    <w:rsid w:val="00C47D2D"/>
    <w:rsid w:val="00C47F3D"/>
    <w:rsid w:val="00C51D27"/>
    <w:rsid w:val="00C54E61"/>
    <w:rsid w:val="00C556FB"/>
    <w:rsid w:val="00C613BA"/>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85572"/>
    <w:rsid w:val="00C903F3"/>
    <w:rsid w:val="00C9068C"/>
    <w:rsid w:val="00C91051"/>
    <w:rsid w:val="00C9285D"/>
    <w:rsid w:val="00C92967"/>
    <w:rsid w:val="00C9499A"/>
    <w:rsid w:val="00C96B15"/>
    <w:rsid w:val="00C96CAE"/>
    <w:rsid w:val="00C97DD9"/>
    <w:rsid w:val="00CA08C8"/>
    <w:rsid w:val="00CA0C6F"/>
    <w:rsid w:val="00CA1196"/>
    <w:rsid w:val="00CA160C"/>
    <w:rsid w:val="00CA3D0C"/>
    <w:rsid w:val="00CA4CC4"/>
    <w:rsid w:val="00CA55A2"/>
    <w:rsid w:val="00CA6073"/>
    <w:rsid w:val="00CA654B"/>
    <w:rsid w:val="00CA7FB5"/>
    <w:rsid w:val="00CB1831"/>
    <w:rsid w:val="00CB192D"/>
    <w:rsid w:val="00CB20EE"/>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15EF"/>
    <w:rsid w:val="00D0310E"/>
    <w:rsid w:val="00D03911"/>
    <w:rsid w:val="00D04103"/>
    <w:rsid w:val="00D048E7"/>
    <w:rsid w:val="00D05C9E"/>
    <w:rsid w:val="00D133BA"/>
    <w:rsid w:val="00D14063"/>
    <w:rsid w:val="00D16129"/>
    <w:rsid w:val="00D177F8"/>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476"/>
    <w:rsid w:val="00D50FAB"/>
    <w:rsid w:val="00D53F4D"/>
    <w:rsid w:val="00D548D7"/>
    <w:rsid w:val="00D54EF9"/>
    <w:rsid w:val="00D57B51"/>
    <w:rsid w:val="00D6117F"/>
    <w:rsid w:val="00D62E82"/>
    <w:rsid w:val="00D63BB4"/>
    <w:rsid w:val="00D641AE"/>
    <w:rsid w:val="00D646DB"/>
    <w:rsid w:val="00D64B2D"/>
    <w:rsid w:val="00D66F34"/>
    <w:rsid w:val="00D679C7"/>
    <w:rsid w:val="00D738D6"/>
    <w:rsid w:val="00D73F4E"/>
    <w:rsid w:val="00D742F4"/>
    <w:rsid w:val="00D75638"/>
    <w:rsid w:val="00D80795"/>
    <w:rsid w:val="00D80F5E"/>
    <w:rsid w:val="00D82DC3"/>
    <w:rsid w:val="00D8694E"/>
    <w:rsid w:val="00D870B2"/>
    <w:rsid w:val="00D87A08"/>
    <w:rsid w:val="00D87E00"/>
    <w:rsid w:val="00D90718"/>
    <w:rsid w:val="00D9134D"/>
    <w:rsid w:val="00D91BCA"/>
    <w:rsid w:val="00D92B08"/>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248"/>
    <w:rsid w:val="00DB4BA8"/>
    <w:rsid w:val="00DB6E8D"/>
    <w:rsid w:val="00DB72F8"/>
    <w:rsid w:val="00DC17FD"/>
    <w:rsid w:val="00DC309B"/>
    <w:rsid w:val="00DC41E9"/>
    <w:rsid w:val="00DC4DA2"/>
    <w:rsid w:val="00DC50B4"/>
    <w:rsid w:val="00DC5F65"/>
    <w:rsid w:val="00DC7854"/>
    <w:rsid w:val="00DD06F0"/>
    <w:rsid w:val="00DD102D"/>
    <w:rsid w:val="00DD43BA"/>
    <w:rsid w:val="00DD5312"/>
    <w:rsid w:val="00DD70FA"/>
    <w:rsid w:val="00DD722F"/>
    <w:rsid w:val="00DE0D91"/>
    <w:rsid w:val="00DE17D1"/>
    <w:rsid w:val="00DE44B0"/>
    <w:rsid w:val="00DE4A98"/>
    <w:rsid w:val="00DE56A5"/>
    <w:rsid w:val="00DF08B7"/>
    <w:rsid w:val="00DF2B7B"/>
    <w:rsid w:val="00DF5B0C"/>
    <w:rsid w:val="00E0098E"/>
    <w:rsid w:val="00E02F6A"/>
    <w:rsid w:val="00E03198"/>
    <w:rsid w:val="00E03A46"/>
    <w:rsid w:val="00E03F18"/>
    <w:rsid w:val="00E0415B"/>
    <w:rsid w:val="00E06135"/>
    <w:rsid w:val="00E062E3"/>
    <w:rsid w:val="00E074C7"/>
    <w:rsid w:val="00E113C0"/>
    <w:rsid w:val="00E23537"/>
    <w:rsid w:val="00E250F4"/>
    <w:rsid w:val="00E25BEF"/>
    <w:rsid w:val="00E25C19"/>
    <w:rsid w:val="00E30372"/>
    <w:rsid w:val="00E307FC"/>
    <w:rsid w:val="00E313B9"/>
    <w:rsid w:val="00E31932"/>
    <w:rsid w:val="00E31E89"/>
    <w:rsid w:val="00E33147"/>
    <w:rsid w:val="00E34168"/>
    <w:rsid w:val="00E35793"/>
    <w:rsid w:val="00E36407"/>
    <w:rsid w:val="00E4026E"/>
    <w:rsid w:val="00E40E41"/>
    <w:rsid w:val="00E42D93"/>
    <w:rsid w:val="00E43DB9"/>
    <w:rsid w:val="00E448A1"/>
    <w:rsid w:val="00E4673B"/>
    <w:rsid w:val="00E50281"/>
    <w:rsid w:val="00E50F6F"/>
    <w:rsid w:val="00E51DC4"/>
    <w:rsid w:val="00E539D7"/>
    <w:rsid w:val="00E539FD"/>
    <w:rsid w:val="00E54361"/>
    <w:rsid w:val="00E546AB"/>
    <w:rsid w:val="00E55DCB"/>
    <w:rsid w:val="00E56EEF"/>
    <w:rsid w:val="00E60CAF"/>
    <w:rsid w:val="00E61B39"/>
    <w:rsid w:val="00E62835"/>
    <w:rsid w:val="00E64523"/>
    <w:rsid w:val="00E6528D"/>
    <w:rsid w:val="00E6683D"/>
    <w:rsid w:val="00E7041F"/>
    <w:rsid w:val="00E70A06"/>
    <w:rsid w:val="00E730C7"/>
    <w:rsid w:val="00E73610"/>
    <w:rsid w:val="00E73923"/>
    <w:rsid w:val="00E751E7"/>
    <w:rsid w:val="00E76317"/>
    <w:rsid w:val="00E76946"/>
    <w:rsid w:val="00E769AC"/>
    <w:rsid w:val="00E77645"/>
    <w:rsid w:val="00E77AE3"/>
    <w:rsid w:val="00E77E21"/>
    <w:rsid w:val="00E810BF"/>
    <w:rsid w:val="00E83697"/>
    <w:rsid w:val="00E83810"/>
    <w:rsid w:val="00E84686"/>
    <w:rsid w:val="00E854D4"/>
    <w:rsid w:val="00E855F7"/>
    <w:rsid w:val="00E858CD"/>
    <w:rsid w:val="00E870A0"/>
    <w:rsid w:val="00E91487"/>
    <w:rsid w:val="00E91DDC"/>
    <w:rsid w:val="00E925C9"/>
    <w:rsid w:val="00E92B2F"/>
    <w:rsid w:val="00E9444B"/>
    <w:rsid w:val="00E94C85"/>
    <w:rsid w:val="00EA00A8"/>
    <w:rsid w:val="00EA0AAF"/>
    <w:rsid w:val="00EA1DC3"/>
    <w:rsid w:val="00EA1ED6"/>
    <w:rsid w:val="00EA6CB4"/>
    <w:rsid w:val="00EB2AF5"/>
    <w:rsid w:val="00EB4566"/>
    <w:rsid w:val="00EB4E5D"/>
    <w:rsid w:val="00EB564C"/>
    <w:rsid w:val="00EB7699"/>
    <w:rsid w:val="00EC0A52"/>
    <w:rsid w:val="00EC39EB"/>
    <w:rsid w:val="00EC464F"/>
    <w:rsid w:val="00EC4A25"/>
    <w:rsid w:val="00EC5873"/>
    <w:rsid w:val="00EC5DC4"/>
    <w:rsid w:val="00EC6834"/>
    <w:rsid w:val="00EC6A06"/>
    <w:rsid w:val="00EC717A"/>
    <w:rsid w:val="00ED07E4"/>
    <w:rsid w:val="00ED09BF"/>
    <w:rsid w:val="00ED1D93"/>
    <w:rsid w:val="00ED20B1"/>
    <w:rsid w:val="00ED43A5"/>
    <w:rsid w:val="00EE1512"/>
    <w:rsid w:val="00EE217F"/>
    <w:rsid w:val="00EE4120"/>
    <w:rsid w:val="00EE44AD"/>
    <w:rsid w:val="00EE78CE"/>
    <w:rsid w:val="00EE7D61"/>
    <w:rsid w:val="00EF1E0A"/>
    <w:rsid w:val="00EF267F"/>
    <w:rsid w:val="00EF2758"/>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078"/>
    <w:rsid w:val="00F2210A"/>
    <w:rsid w:val="00F22362"/>
    <w:rsid w:val="00F24379"/>
    <w:rsid w:val="00F2595D"/>
    <w:rsid w:val="00F2754C"/>
    <w:rsid w:val="00F31951"/>
    <w:rsid w:val="00F31CC8"/>
    <w:rsid w:val="00F32173"/>
    <w:rsid w:val="00F3250E"/>
    <w:rsid w:val="00F326D6"/>
    <w:rsid w:val="00F32EE5"/>
    <w:rsid w:val="00F37743"/>
    <w:rsid w:val="00F40310"/>
    <w:rsid w:val="00F42B86"/>
    <w:rsid w:val="00F44FCE"/>
    <w:rsid w:val="00F47078"/>
    <w:rsid w:val="00F4731F"/>
    <w:rsid w:val="00F52DBE"/>
    <w:rsid w:val="00F53AAD"/>
    <w:rsid w:val="00F53C8B"/>
    <w:rsid w:val="00F5490A"/>
    <w:rsid w:val="00F54A3D"/>
    <w:rsid w:val="00F54F7D"/>
    <w:rsid w:val="00F57BF9"/>
    <w:rsid w:val="00F62456"/>
    <w:rsid w:val="00F653B8"/>
    <w:rsid w:val="00F66E5B"/>
    <w:rsid w:val="00F705E6"/>
    <w:rsid w:val="00F71B89"/>
    <w:rsid w:val="00F7353C"/>
    <w:rsid w:val="00F74FB5"/>
    <w:rsid w:val="00F75B5F"/>
    <w:rsid w:val="00F76050"/>
    <w:rsid w:val="00F76F8F"/>
    <w:rsid w:val="00F777E4"/>
    <w:rsid w:val="00F80C4B"/>
    <w:rsid w:val="00F80F72"/>
    <w:rsid w:val="00F81496"/>
    <w:rsid w:val="00F8151C"/>
    <w:rsid w:val="00F83135"/>
    <w:rsid w:val="00F84AD1"/>
    <w:rsid w:val="00F8529B"/>
    <w:rsid w:val="00F8570F"/>
    <w:rsid w:val="00F8639A"/>
    <w:rsid w:val="00F941A4"/>
    <w:rsid w:val="00F96CF4"/>
    <w:rsid w:val="00F971CB"/>
    <w:rsid w:val="00F97D6E"/>
    <w:rsid w:val="00FA0274"/>
    <w:rsid w:val="00FA0D44"/>
    <w:rsid w:val="00FA1266"/>
    <w:rsid w:val="00FA1C5C"/>
    <w:rsid w:val="00FA22EE"/>
    <w:rsid w:val="00FA2EA8"/>
    <w:rsid w:val="00FA4BA7"/>
    <w:rsid w:val="00FA6B50"/>
    <w:rsid w:val="00FA7156"/>
    <w:rsid w:val="00FA760F"/>
    <w:rsid w:val="00FA7A0F"/>
    <w:rsid w:val="00FB0844"/>
    <w:rsid w:val="00FB11CA"/>
    <w:rsid w:val="00FB16A0"/>
    <w:rsid w:val="00FB1ACE"/>
    <w:rsid w:val="00FB1FDF"/>
    <w:rsid w:val="00FB4507"/>
    <w:rsid w:val="00FB46CA"/>
    <w:rsid w:val="00FB5C29"/>
    <w:rsid w:val="00FB69F2"/>
    <w:rsid w:val="00FC0B77"/>
    <w:rsid w:val="00FC1192"/>
    <w:rsid w:val="00FC18C5"/>
    <w:rsid w:val="00FC40D3"/>
    <w:rsid w:val="00FC5133"/>
    <w:rsid w:val="00FC63B6"/>
    <w:rsid w:val="00FC77D8"/>
    <w:rsid w:val="00FD03E5"/>
    <w:rsid w:val="00FD1FA7"/>
    <w:rsid w:val="00FD2CBF"/>
    <w:rsid w:val="00FD3E22"/>
    <w:rsid w:val="00FD4EDD"/>
    <w:rsid w:val="00FD55F1"/>
    <w:rsid w:val="00FD7FDF"/>
    <w:rsid w:val="00FE0DB2"/>
    <w:rsid w:val="00FE55FB"/>
    <w:rsid w:val="00FE5909"/>
    <w:rsid w:val="00FF0142"/>
    <w:rsid w:val="00FF05DE"/>
    <w:rsid w:val="00FF0BC3"/>
    <w:rsid w:val="00FF122E"/>
    <w:rsid w:val="00FF1498"/>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1607</Words>
  <Characters>9161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2</cp:lastModifiedBy>
  <cp:revision>3</cp:revision>
  <dcterms:created xsi:type="dcterms:W3CDTF">2022-11-02T20:13:00Z</dcterms:created>
  <dcterms:modified xsi:type="dcterms:W3CDTF">2022-11-02T20:13:00Z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